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rPr>
          <w:rFonts w:eastAsia="Times New Roman"/>
          <w:color w:val="000000"/>
          <w:sz w:val="24"/>
          <w:szCs w:val="24"/>
        </w:rPr>
      </w:pPr>
    </w:p>
    <w:p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Программа внеурочной деятельности</w:t>
      </w:r>
    </w:p>
    <w:p>
      <w:pPr>
        <w:jc w:val="center"/>
        <w:rPr>
          <w:rFonts w:eastAsia="Times New Roman"/>
          <w:b/>
          <w:color w:val="000000"/>
          <w:sz w:val="28"/>
          <w:szCs w:val="28"/>
        </w:rPr>
      </w:pPr>
    </w:p>
    <w:p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«Первые шаги в</w:t>
      </w:r>
      <w:r>
        <w:rPr>
          <w:rFonts w:eastAsia="Times New Roman"/>
          <w:b/>
          <w:sz w:val="28"/>
          <w:szCs w:val="28"/>
          <w:lang w:val="ru-RU"/>
        </w:rPr>
        <w:t>цифровую</w:t>
      </w:r>
      <w:r>
        <w:rPr>
          <w:rFonts w:hint="default" w:eastAsia="Times New Roman"/>
          <w:b/>
          <w:sz w:val="28"/>
          <w:szCs w:val="28"/>
          <w:lang w:val="ru-RU"/>
        </w:rPr>
        <w:t xml:space="preserve"> лабораторию (</w:t>
      </w:r>
      <w:r>
        <w:rPr>
          <w:rFonts w:eastAsia="Times New Roman"/>
          <w:b/>
          <w:sz w:val="28"/>
          <w:szCs w:val="28"/>
        </w:rPr>
        <w:t xml:space="preserve">  хими</w:t>
      </w:r>
      <w:r>
        <w:rPr>
          <w:rFonts w:eastAsia="Times New Roman"/>
          <w:b/>
          <w:sz w:val="28"/>
          <w:szCs w:val="28"/>
          <w:lang w:val="ru-RU"/>
        </w:rPr>
        <w:t>я</w:t>
      </w:r>
      <w:r>
        <w:rPr>
          <w:rFonts w:hint="default" w:eastAsia="Times New Roman"/>
          <w:b/>
          <w:sz w:val="28"/>
          <w:szCs w:val="28"/>
          <w:lang w:val="ru-RU"/>
        </w:rPr>
        <w:t>)</w:t>
      </w:r>
      <w:r>
        <w:rPr>
          <w:rFonts w:eastAsia="Times New Roman"/>
          <w:b/>
          <w:sz w:val="28"/>
          <w:szCs w:val="28"/>
        </w:rPr>
        <w:t>»</w:t>
      </w:r>
    </w:p>
    <w:p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(линия УМК О.С. Габриеляна) </w:t>
      </w:r>
    </w:p>
    <w:p>
      <w:pPr>
        <w:jc w:val="center"/>
        <w:rPr>
          <w:rFonts w:eastAsia="Times New Roman"/>
          <w:b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366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8" w:type="dxa"/>
            <w:shd w:val="clear" w:color="auto" w:fill="auto"/>
          </w:tcPr>
          <w:p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66" w:type="dxa"/>
          </w:tcPr>
          <w:p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общеинтеллектуальное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8" w:type="dxa"/>
            <w:shd w:val="clear" w:color="auto" w:fill="auto"/>
          </w:tcPr>
          <w:p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Программа рассчитана</w:t>
            </w:r>
          </w:p>
        </w:tc>
        <w:tc>
          <w:tcPr>
            <w:tcW w:w="366" w:type="dxa"/>
          </w:tcPr>
          <w:p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для учащихся 14 лет (8 класс)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8" w:type="dxa"/>
            <w:shd w:val="clear" w:color="auto" w:fill="auto"/>
          </w:tcPr>
          <w:p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66" w:type="dxa"/>
          </w:tcPr>
          <w:p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 год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18" w:type="dxa"/>
            <w:shd w:val="clear" w:color="auto" w:fill="auto"/>
          </w:tcPr>
          <w:p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6" w:type="dxa"/>
          </w:tcPr>
          <w:p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4" w:type="dxa"/>
            <w:shd w:val="clear" w:color="auto" w:fill="auto"/>
          </w:tcPr>
          <w:p>
            <w:pPr>
              <w:spacing w:line="36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34 часа</w:t>
            </w:r>
          </w:p>
        </w:tc>
      </w:tr>
    </w:tbl>
    <w:p>
      <w:pPr>
        <w:spacing w:line="276" w:lineRule="auto"/>
        <w:jc w:val="right"/>
        <w:rPr>
          <w:rFonts w:eastAsia="Times New Roman"/>
          <w:color w:val="000000"/>
          <w:sz w:val="28"/>
          <w:szCs w:val="28"/>
        </w:rPr>
      </w:pPr>
    </w:p>
    <w:p>
      <w:pPr>
        <w:spacing w:line="276" w:lineRule="auto"/>
        <w:jc w:val="right"/>
        <w:rPr>
          <w:rFonts w:eastAsia="Times New Roman"/>
          <w:color w:val="000000"/>
          <w:sz w:val="24"/>
          <w:szCs w:val="24"/>
        </w:rPr>
      </w:pPr>
    </w:p>
    <w:p>
      <w:pPr>
        <w:spacing w:line="276" w:lineRule="auto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Автор</w:t>
      </w:r>
      <w:r>
        <w:rPr>
          <w:rFonts w:eastAsia="Times New Roman"/>
          <w:b/>
          <w:color w:val="000000"/>
          <w:sz w:val="24"/>
          <w:szCs w:val="24"/>
        </w:rPr>
        <w:t>:</w:t>
      </w:r>
      <w:r>
        <w:rPr>
          <w:rFonts w:eastAsia="Times New Roman"/>
          <w:b/>
          <w:color w:val="000000"/>
          <w:sz w:val="24"/>
          <w:szCs w:val="24"/>
          <w:lang w:val="ru-RU"/>
        </w:rPr>
        <w:t>Кирюшина</w:t>
      </w:r>
      <w:r>
        <w:rPr>
          <w:rFonts w:hint="default" w:eastAsia="Times New Roman"/>
          <w:b/>
          <w:color w:val="000000"/>
          <w:sz w:val="24"/>
          <w:szCs w:val="24"/>
          <w:lang w:val="ru-RU"/>
        </w:rPr>
        <w:t xml:space="preserve"> Ирина Александровна</w:t>
      </w:r>
      <w:r>
        <w:rPr>
          <w:rFonts w:eastAsia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учитель химии</w:t>
      </w:r>
    </w:p>
    <w:p>
      <w:pPr>
        <w:spacing w:after="200" w:line="276" w:lineRule="auto"/>
        <w:jc w:val="both"/>
        <w:rPr>
          <w:rFonts w:eastAsia="Times New Roman"/>
          <w:color w:val="000000"/>
          <w:sz w:val="24"/>
          <w:szCs w:val="24"/>
        </w:rPr>
      </w:pPr>
    </w:p>
    <w:p>
      <w:pPr>
        <w:spacing w:after="200" w:line="276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hint="default" w:eastAsia="Times New Roman"/>
          <w:color w:val="000000"/>
          <w:sz w:val="24"/>
          <w:szCs w:val="24"/>
          <w:lang w:val="ru-RU"/>
        </w:rPr>
        <w:t xml:space="preserve">д. </w:t>
      </w:r>
      <w:r>
        <w:rPr>
          <w:rFonts w:eastAsia="Times New Roman"/>
          <w:color w:val="000000"/>
          <w:sz w:val="24"/>
          <w:szCs w:val="24"/>
          <w:lang w:val="ru-RU"/>
        </w:rPr>
        <w:t>Андреевское</w:t>
      </w:r>
      <w:r>
        <w:rPr>
          <w:rFonts w:eastAsia="Times New Roman"/>
          <w:color w:val="000000"/>
          <w:sz w:val="24"/>
          <w:szCs w:val="24"/>
        </w:rPr>
        <w:t>, 20</w:t>
      </w:r>
      <w:bookmarkStart w:id="0" w:name="page3"/>
      <w:bookmarkEnd w:id="0"/>
      <w:r>
        <w:rPr>
          <w:rFonts w:eastAsia="Times New Roman"/>
          <w:color w:val="000000"/>
          <w:sz w:val="24"/>
          <w:szCs w:val="24"/>
        </w:rPr>
        <w:t>21</w:t>
      </w:r>
    </w:p>
    <w:p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</w:rPr>
        <w:sectPr>
          <w:footerReference r:id="rId5" w:type="first"/>
          <w:footerReference r:id="rId4" w:type="default"/>
          <w:pgSz w:w="16840" w:h="11900" w:orient="landscape"/>
          <w:pgMar w:top="844" w:right="1440" w:bottom="1440" w:left="1440" w:header="0" w:footer="0" w:gutter="0"/>
          <w:pgNumType w:start="1"/>
          <w:cols w:space="720" w:num="1"/>
          <w:titlePg/>
          <w:docGrid w:linePitch="299" w:charSpace="0"/>
        </w:sectPr>
      </w:pPr>
    </w:p>
    <w:p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Пояснительная записка</w:t>
      </w:r>
    </w:p>
    <w:p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>
      <w:pPr>
        <w:shd w:val="clear" w:color="auto" w:fill="FFFFFF"/>
        <w:suppressAutoHyphens/>
        <w:spacing w:line="360" w:lineRule="auto"/>
        <w:ind w:right="-31" w:firstLine="567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Рабочая программа по </w:t>
      </w:r>
      <w:r>
        <w:rPr>
          <w:rFonts w:eastAsiaTheme="minorHAnsi"/>
          <w:sz w:val="28"/>
          <w:szCs w:val="28"/>
          <w:lang w:eastAsia="en-US"/>
        </w:rPr>
        <w:t xml:space="preserve">внеурочной деятельности </w:t>
      </w:r>
      <w:r>
        <w:rPr>
          <w:rFonts w:eastAsia="Calibri"/>
          <w:sz w:val="28"/>
          <w:szCs w:val="28"/>
          <w:lang w:eastAsia="en-US"/>
        </w:rPr>
        <w:t>для 8</w:t>
      </w:r>
      <w:bookmarkStart w:id="1" w:name="_GoBack"/>
      <w:bookmarkEnd w:id="1"/>
      <w:r>
        <w:rPr>
          <w:rFonts w:eastAsia="Calibri"/>
          <w:sz w:val="28"/>
          <w:szCs w:val="28"/>
          <w:lang w:eastAsia="en-US"/>
        </w:rPr>
        <w:t xml:space="preserve"> классов составлена в соответствии с требованиями Федерального государственного образовательного стандарта общего образования второго поколения:</w:t>
      </w:r>
    </w:p>
    <w:p>
      <w:pPr>
        <w:numPr>
          <w:ilvl w:val="0"/>
          <w:numId w:val="1"/>
        </w:numPr>
        <w:tabs>
          <w:tab w:val="left" w:pos="720"/>
          <w:tab w:val="right" w:leader="dot" w:pos="9628"/>
        </w:tabs>
        <w:suppressAutoHyphens/>
        <w:spacing w:after="200" w:line="360" w:lineRule="auto"/>
        <w:ind w:hanging="72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Примерная основная образовательная программа основного общего образования (</w:t>
      </w:r>
      <w:r>
        <w:rPr>
          <w:rFonts w:eastAsia="Calibri"/>
          <w:sz w:val="28"/>
          <w:szCs w:val="28"/>
        </w:rPr>
        <w:t>одобрена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решением федерального учебно-методического объединения по общему образованию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(протокол  от 28 июня 2016 г. № 2/16-з) </w:t>
      </w:r>
      <w:r>
        <w:rPr>
          <w:rFonts w:eastAsia="Calibri"/>
          <w:sz w:val="28"/>
          <w:szCs w:val="28"/>
          <w:lang w:val="en-US"/>
        </w:rPr>
        <w:t>– fgosreestr.ru</w:t>
      </w:r>
      <w:r>
        <w:rPr>
          <w:rFonts w:eastAsia="Calibri"/>
          <w:sz w:val="28"/>
          <w:szCs w:val="28"/>
        </w:rPr>
        <w:t>;</w:t>
      </w:r>
    </w:p>
    <w:p>
      <w:pPr>
        <w:numPr>
          <w:ilvl w:val="0"/>
          <w:numId w:val="1"/>
        </w:numPr>
        <w:tabs>
          <w:tab w:val="left" w:pos="720"/>
          <w:tab w:val="right" w:leader="dot" w:pos="9628"/>
        </w:tabs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Письмо Минобрнауки от 28.10.2015 г.  № 08-1786 «О рабочих программах учебных предметов»;</w:t>
      </w:r>
    </w:p>
    <w:p>
      <w:pPr>
        <w:numPr>
          <w:ilvl w:val="0"/>
          <w:numId w:val="1"/>
        </w:numPr>
        <w:tabs>
          <w:tab w:val="left" w:pos="720"/>
          <w:tab w:val="right" w:leader="dot" w:pos="9628"/>
        </w:tabs>
        <w:suppressAutoHyphens/>
        <w:spacing w:after="200" w:line="360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Письмо Минобрнауки от 12.05.2011 г.  № 03-2960 «Об организации внеурочной деятельности».</w:t>
      </w:r>
    </w:p>
    <w:p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Данная программа является программой общеинтеллектуальной направленности. </w:t>
      </w:r>
      <w:r>
        <w:rPr>
          <w:rFonts w:eastAsiaTheme="minorHAnsi"/>
          <w:sz w:val="28"/>
          <w:szCs w:val="28"/>
          <w:lang w:eastAsia="en-US"/>
        </w:rPr>
        <w:t xml:space="preserve">Программа построена на следующих принципах: </w:t>
      </w:r>
    </w:p>
    <w:p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i/>
          <w:sz w:val="28"/>
          <w:szCs w:val="28"/>
          <w:lang w:eastAsia="en-US"/>
        </w:rPr>
        <w:t>Принцип научности</w:t>
      </w:r>
      <w:r>
        <w:rPr>
          <w:rFonts w:eastAsiaTheme="minorHAnsi"/>
          <w:sz w:val="28"/>
          <w:szCs w:val="28"/>
          <w:lang w:eastAsia="en-US"/>
        </w:rPr>
        <w:t xml:space="preserve"> (знания основаны на объективных научных фактах).</w:t>
      </w:r>
    </w:p>
    <w:p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</w:t>
      </w:r>
      <w:r>
        <w:rPr>
          <w:rFonts w:eastAsiaTheme="minorHAnsi"/>
          <w:i/>
          <w:sz w:val="28"/>
          <w:szCs w:val="28"/>
          <w:lang w:eastAsia="en-US"/>
        </w:rPr>
        <w:t>Принцип последовательности и систематичности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(обучение от простого к сложному, «от незнания к знанию, от неумения к умению»). </w:t>
      </w:r>
    </w:p>
    <w:p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i/>
          <w:sz w:val="28"/>
          <w:szCs w:val="28"/>
          <w:lang w:eastAsia="en-US"/>
        </w:rPr>
        <w:t xml:space="preserve">Принцип наглядности </w:t>
      </w:r>
      <w:r>
        <w:rPr>
          <w:rFonts w:eastAsiaTheme="minorHAnsi"/>
          <w:sz w:val="28"/>
          <w:szCs w:val="28"/>
          <w:lang w:eastAsia="en-US"/>
        </w:rPr>
        <w:t xml:space="preserve">(осуществление связи между конкретным и абстрактным). </w:t>
      </w:r>
    </w:p>
    <w:p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i/>
          <w:sz w:val="28"/>
          <w:szCs w:val="28"/>
          <w:lang w:eastAsia="en-US"/>
        </w:rPr>
        <w:t>Принцип осмысленности</w:t>
      </w:r>
      <w:r>
        <w:rPr>
          <w:rFonts w:eastAsiaTheme="minorHAnsi"/>
          <w:sz w:val="28"/>
          <w:szCs w:val="28"/>
          <w:lang w:eastAsia="en-US"/>
        </w:rPr>
        <w:t xml:space="preserve"> (перенос имеющихся знаний в новую ситуацию). </w:t>
      </w:r>
    </w:p>
    <w:p>
      <w:pPr>
        <w:spacing w:line="360" w:lineRule="auto"/>
        <w:contextualSpacing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i/>
          <w:sz w:val="28"/>
          <w:szCs w:val="28"/>
          <w:lang w:eastAsia="en-US"/>
        </w:rPr>
        <w:t>Принцип сознательности и активности</w:t>
      </w:r>
      <w:r>
        <w:rPr>
          <w:rFonts w:eastAsiaTheme="minorHAnsi"/>
          <w:sz w:val="28"/>
          <w:szCs w:val="28"/>
          <w:lang w:eastAsia="en-US"/>
        </w:rPr>
        <w:t xml:space="preserve"> (применение знаний на практике). </w:t>
      </w:r>
    </w:p>
    <w:p>
      <w:pPr>
        <w:spacing w:line="360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Актуальность программы </w:t>
      </w:r>
      <w:r>
        <w:rPr>
          <w:rFonts w:eastAsia="Times New Roman"/>
          <w:sz w:val="28"/>
          <w:szCs w:val="28"/>
        </w:rPr>
        <w:t>обусловлена тем,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что в учебном плане предмету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«Химия» отведено всего 2 часа в неделю (8 класс), что дает возможность сформировать у учащихся лишь базовые знания по предмету. В тоже время возраст 8-го класса является важным для профессионального самоопределения школьников. Возможно, что проснувшийся интерес к химии может перерасти в будущую профессию.</w:t>
      </w:r>
    </w:p>
    <w:p>
      <w:pPr>
        <w:spacing w:line="360" w:lineRule="auto"/>
        <w:ind w:left="260" w:firstLine="540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Актуальность</w:t>
      </w:r>
      <w:r>
        <w:rPr>
          <w:rFonts w:eastAsia="Times New Roman"/>
          <w:sz w:val="28"/>
          <w:szCs w:val="28"/>
        </w:rPr>
        <w:t xml:space="preserve"> данной программы состоит в и том, что она не только дает воспитанникам практические умения и навыки, формирует начальный опыт творческой деятельности, но и развивает интерес обучающегося к эксперименту, научному поиску, способствует самоопределению учащихся, осознанному выбору профессии. Учащиеся смогут на практике использовать свои знания на уроках химии и в быту.</w:t>
      </w:r>
    </w:p>
    <w:p>
      <w:pPr>
        <w:spacing w:line="360" w:lineRule="auto"/>
        <w:ind w:left="260" w:firstLine="37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Педагогическая целесообразность заключается в том, что </w:t>
      </w:r>
      <w:r>
        <w:rPr>
          <w:rFonts w:eastAsia="Times New Roman"/>
          <w:sz w:val="28"/>
          <w:szCs w:val="28"/>
        </w:rPr>
        <w:t>базовый курс школьной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программы предусматривает практические работы, но их явно недостаточно, чтобы заинтересовать учащихся в самостоятельном приобретении теоретических знаний и практических умений и навыков. Для этого в курс «Первые шаги в химии» включены наиболее яркие, наглядные, интригующие эксперименты, способные увлечь и заинтересовать учащихся практической наукой химией.</w:t>
      </w:r>
    </w:p>
    <w:p>
      <w:pPr>
        <w:spacing w:line="360" w:lineRule="auto"/>
        <w:ind w:left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национального проекта «Образование» создание центра естественно-научной направленности «Точка роста» позволило внедрить в программу цифровую лабораторию и качественно изменить процесс обучения химии.</w:t>
      </w:r>
    </w:p>
    <w:p>
      <w:pPr>
        <w:spacing w:line="360" w:lineRule="auto"/>
        <w:ind w:left="284"/>
        <w:jc w:val="both"/>
        <w:rPr>
          <w:rFonts w:ascii="Calibri" w:hAnsi="Calibri"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Количественные эксперименты позволят получать достоверную информацию о протекании тех или иных химических процессах, о свойствах веществ. На основе полученных экспериментальных данных обучаемые смогут самостоятельно делать выводы, обобщать результаты, выявлять закономерности, что однозначно будет способствовать повышению мотивации обучения школьников.</w:t>
      </w:r>
    </w:p>
    <w:p>
      <w:pPr>
        <w:spacing w:line="360" w:lineRule="auto"/>
        <w:ind w:left="9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программы:</w:t>
      </w:r>
    </w:p>
    <w:p>
      <w:pPr>
        <w:spacing w:line="360" w:lineRule="auto"/>
        <w:ind w:left="26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учащихся научных представлений о химии в повседневной жизни человека через пробуждение интереса и развитие профессиональных склонностей к предмету химия.</w:t>
      </w:r>
    </w:p>
    <w:p>
      <w:pPr>
        <w:spacing w:line="360" w:lineRule="auto"/>
        <w:ind w:left="9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>
      <w:pPr>
        <w:spacing w:line="360" w:lineRule="auto"/>
        <w:ind w:left="9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Образовательные:</w:t>
      </w:r>
    </w:p>
    <w:p>
      <w:pPr>
        <w:pStyle w:val="12"/>
        <w:numPr>
          <w:ilvl w:val="0"/>
          <w:numId w:val="2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расширить кругозор учащихся о мире веществ;</w:t>
      </w:r>
    </w:p>
    <w:p>
      <w:pPr>
        <w:pStyle w:val="12"/>
        <w:numPr>
          <w:ilvl w:val="0"/>
          <w:numId w:val="2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теоретические знания по химии на практике;</w:t>
      </w:r>
    </w:p>
    <w:p>
      <w:pPr>
        <w:pStyle w:val="12"/>
        <w:numPr>
          <w:ilvl w:val="0"/>
          <w:numId w:val="2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обучить технике безопасности при выполнении химических реакций;</w:t>
      </w:r>
    </w:p>
    <w:p>
      <w:pPr>
        <w:pStyle w:val="12"/>
        <w:numPr>
          <w:ilvl w:val="0"/>
          <w:numId w:val="2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навыки выполнения проектов с использованием ИКТ и цифрового оборудования;</w:t>
      </w:r>
    </w:p>
    <w:p>
      <w:pPr>
        <w:pStyle w:val="12"/>
        <w:numPr>
          <w:ilvl w:val="0"/>
          <w:numId w:val="2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выявить  творчески одарённых обучающихся и  помочь им  проявить  себя.</w:t>
      </w:r>
    </w:p>
    <w:p>
      <w:pPr>
        <w:spacing w:line="360" w:lineRule="auto"/>
        <w:ind w:left="620"/>
        <w:rPr>
          <w:rFonts w:eastAsia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Развивающие:</w:t>
      </w:r>
    </w:p>
    <w:p>
      <w:pPr>
        <w:pStyle w:val="12"/>
        <w:numPr>
          <w:ilvl w:val="0"/>
          <w:numId w:val="3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развитию творческих способностей обучающихся;</w:t>
      </w:r>
    </w:p>
    <w:p>
      <w:pPr>
        <w:pStyle w:val="12"/>
        <w:numPr>
          <w:ilvl w:val="0"/>
          <w:numId w:val="4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ИКТ-компетентости;</w:t>
      </w:r>
    </w:p>
    <w:p>
      <w:pPr>
        <w:spacing w:line="360" w:lineRule="auto"/>
        <w:ind w:left="620"/>
        <w:rPr>
          <w:rFonts w:eastAsia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Воспитательные:</w:t>
      </w:r>
    </w:p>
    <w:p>
      <w:pPr>
        <w:pStyle w:val="12"/>
        <w:numPr>
          <w:ilvl w:val="0"/>
          <w:numId w:val="4"/>
        </w:numPr>
        <w:tabs>
          <w:tab w:val="left" w:pos="620"/>
        </w:tabs>
        <w:spacing w:line="360" w:lineRule="auto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воспитать самостоятельность при выполнении работы;</w:t>
      </w:r>
    </w:p>
    <w:p>
      <w:pPr>
        <w:pStyle w:val="12"/>
        <w:numPr>
          <w:ilvl w:val="0"/>
          <w:numId w:val="4"/>
        </w:numPr>
        <w:tabs>
          <w:tab w:val="left" w:pos="460"/>
        </w:tabs>
        <w:spacing w:line="360" w:lineRule="auto"/>
        <w:ind w:right="10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воспитать чувство взаимопомощи, коллективизма, умение работать в команде;  воспитать чувство личной ответственности.</w:t>
      </w:r>
    </w:p>
    <w:p>
      <w:pPr>
        <w:tabs>
          <w:tab w:val="left" w:pos="460"/>
        </w:tabs>
        <w:spacing w:line="360" w:lineRule="auto"/>
        <w:ind w:left="262" w:right="10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Связь содержания программы внеурочной деятельности с учебными предметами: </w:t>
      </w:r>
    </w:p>
    <w:p>
      <w:pPr>
        <w:widowControl w:val="0"/>
        <w:overflowPunct w:val="0"/>
        <w:autoSpaceDE w:val="0"/>
        <w:autoSpaceDN w:val="0"/>
        <w:adjustRightInd w:val="0"/>
        <w:spacing w:line="360" w:lineRule="auto"/>
        <w:ind w:left="2"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 внеурочной деятельности идейно и содержательно связан с базовым курсом химии и позволяет поддерживать взаимосвяз теории и практики, формирует устойчивую потребность применять полученные знания и навыки в повседневной жизни.</w:t>
      </w:r>
    </w:p>
    <w:p>
      <w:pPr>
        <w:widowControl w:val="0"/>
        <w:overflowPunct w:val="0"/>
        <w:autoSpaceDE w:val="0"/>
        <w:autoSpaceDN w:val="0"/>
        <w:adjustRightInd w:val="0"/>
        <w:spacing w:line="360" w:lineRule="auto"/>
        <w:ind w:left="2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построена на основе </w:t>
      </w:r>
      <w:r>
        <w:rPr>
          <w:b/>
          <w:sz w:val="28"/>
          <w:szCs w:val="28"/>
        </w:rPr>
        <w:t>межпредметной интеграции</w:t>
      </w:r>
      <w:r>
        <w:rPr>
          <w:sz w:val="28"/>
          <w:szCs w:val="28"/>
        </w:rPr>
        <w:t xml:space="preserve"> с физикой, математикой, биологией и другими естественно-научными  предметами.</w:t>
      </w:r>
    </w:p>
    <w:p>
      <w:pPr>
        <w:spacing w:line="360" w:lineRule="auto"/>
        <w:ind w:left="620" w:right="53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Особенности реализации программы:</w:t>
      </w:r>
    </w:p>
    <w:p>
      <w:pPr>
        <w:spacing w:line="360" w:lineRule="auto"/>
        <w:ind w:left="620" w:right="53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Возраст обучающихся</w:t>
      </w:r>
      <w:r>
        <w:rPr>
          <w:rFonts w:eastAsia="Times New Roman"/>
          <w:sz w:val="28"/>
          <w:szCs w:val="28"/>
        </w:rPr>
        <w:t>:</w:t>
      </w:r>
    </w:p>
    <w:p>
      <w:pPr>
        <w:spacing w:line="360" w:lineRule="auto"/>
        <w:ind w:left="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ориентирована на воспитанников в возрасте 14-1</w:t>
      </w:r>
      <w:r>
        <w:rPr>
          <w:rFonts w:hint="default" w:eastAsia="Times New Roman"/>
          <w:sz w:val="28"/>
          <w:szCs w:val="28"/>
          <w:lang w:val="ru-RU"/>
        </w:rPr>
        <w:t>6</w:t>
      </w:r>
      <w:r>
        <w:rPr>
          <w:rFonts w:eastAsia="Times New Roman"/>
          <w:sz w:val="28"/>
          <w:szCs w:val="28"/>
        </w:rPr>
        <w:t xml:space="preserve"> лет без специальной подготовки.</w:t>
      </w:r>
    </w:p>
    <w:p>
      <w:pPr>
        <w:spacing w:line="360" w:lineRule="auto"/>
        <w:ind w:firstLine="6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Формы занятий</w:t>
      </w:r>
      <w:r>
        <w:rPr>
          <w:rFonts w:eastAsia="Times New Roman"/>
          <w:sz w:val="28"/>
          <w:szCs w:val="28"/>
        </w:rPr>
        <w:t>:</w:t>
      </w:r>
    </w:p>
    <w:p>
      <w:pPr>
        <w:tabs>
          <w:tab w:val="left" w:pos="1188"/>
        </w:tabs>
        <w:spacing w:line="360" w:lineRule="auto"/>
        <w:ind w:right="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В образовательном процессе используются различные формы проведения занятия:</w:t>
      </w:r>
    </w:p>
    <w:p>
      <w:pPr>
        <w:pStyle w:val="12"/>
        <w:numPr>
          <w:ilvl w:val="0"/>
          <w:numId w:val="5"/>
        </w:numPr>
        <w:tabs>
          <w:tab w:val="left" w:pos="1188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беседы;</w:t>
      </w:r>
    </w:p>
    <w:p>
      <w:pPr>
        <w:pStyle w:val="12"/>
        <w:numPr>
          <w:ilvl w:val="0"/>
          <w:numId w:val="5"/>
        </w:numPr>
        <w:tabs>
          <w:tab w:val="left" w:pos="1188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лекции;</w:t>
      </w:r>
    </w:p>
    <w:p>
      <w:pPr>
        <w:pStyle w:val="12"/>
        <w:numPr>
          <w:ilvl w:val="0"/>
          <w:numId w:val="5"/>
        </w:numPr>
        <w:tabs>
          <w:tab w:val="left" w:pos="1188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семинары;</w:t>
      </w:r>
    </w:p>
    <w:p>
      <w:pPr>
        <w:pStyle w:val="12"/>
        <w:numPr>
          <w:ilvl w:val="0"/>
          <w:numId w:val="5"/>
        </w:numPr>
        <w:tabs>
          <w:tab w:val="left" w:pos="709"/>
        </w:tabs>
        <w:spacing w:line="360" w:lineRule="auto"/>
        <w:ind w:right="100" w:hanging="17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практическое занятие;</w:t>
      </w:r>
    </w:p>
    <w:p>
      <w:pPr>
        <w:pStyle w:val="12"/>
        <w:numPr>
          <w:ilvl w:val="0"/>
          <w:numId w:val="6"/>
        </w:numPr>
        <w:spacing w:line="360" w:lineRule="auto"/>
        <w:ind w:right="5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химический эксперимент;</w:t>
      </w:r>
    </w:p>
    <w:p>
      <w:pPr>
        <w:pStyle w:val="12"/>
        <w:numPr>
          <w:ilvl w:val="0"/>
          <w:numId w:val="6"/>
        </w:numPr>
        <w:spacing w:line="360" w:lineRule="auto"/>
        <w:ind w:right="5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работа на компьютере; </w:t>
      </w:r>
    </w:p>
    <w:p>
      <w:pPr>
        <w:pStyle w:val="12"/>
        <w:numPr>
          <w:ilvl w:val="0"/>
          <w:numId w:val="6"/>
        </w:numPr>
        <w:spacing w:line="360" w:lineRule="auto"/>
        <w:ind w:right="5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экскурсии;</w:t>
      </w:r>
    </w:p>
    <w:p>
      <w:pPr>
        <w:pStyle w:val="12"/>
        <w:numPr>
          <w:ilvl w:val="0"/>
          <w:numId w:val="6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и защита проектов.</w:t>
      </w:r>
    </w:p>
    <w:p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Режим проведения</w:t>
      </w:r>
      <w:r>
        <w:rPr>
          <w:rFonts w:eastAsia="Times New Roman"/>
          <w:sz w:val="28"/>
          <w:szCs w:val="28"/>
        </w:rPr>
        <w:t>:   34 часа в год - 1 раз в неделю. Все занятия по внеурочной деятельности проводятся после всех уроков основного расписания, продолжительность соответствует рекомендациям СанПиН, т. е. 40 минут.</w:t>
      </w:r>
    </w:p>
    <w:p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Место проведения:    </w:t>
      </w:r>
      <w:r>
        <w:rPr>
          <w:rFonts w:eastAsia="Times New Roman"/>
          <w:sz w:val="28"/>
          <w:szCs w:val="28"/>
        </w:rPr>
        <w:t>занятия проводятся в учебном кабинете химии ГБОУ СОШ № 1 г. Нефтегорска.</w:t>
      </w:r>
    </w:p>
    <w:p>
      <w:pPr>
        <w:spacing w:line="360" w:lineRule="auto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Здоровьесберегающая организация образовательного процесса предполагает использование форм и методов обучения, адекватных возрастным возможностям  школьника: </w:t>
      </w:r>
      <w:r>
        <w:rPr>
          <w:rFonts w:eastAsia="Times New Roman"/>
          <w:sz w:val="28"/>
          <w:szCs w:val="28"/>
          <w:lang w:eastAsia="en-US"/>
        </w:rPr>
        <w:t>практические работы,</w:t>
      </w:r>
      <w:r>
        <w:rPr>
          <w:rFonts w:eastAsia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эксперименты и беседы.</w:t>
      </w:r>
    </w:p>
    <w:p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en-US"/>
        </w:rPr>
        <w:t>Виды деятельности</w:t>
      </w:r>
      <w:r>
        <w:rPr>
          <w:rFonts w:eastAsia="Times New Roman"/>
          <w:sz w:val="28"/>
          <w:szCs w:val="28"/>
          <w:lang w:eastAsia="en-US"/>
        </w:rPr>
        <w:t>: предусмотрены теоретические  (20ч.)  и практические занятия (14ч.).</w:t>
      </w:r>
    </w:p>
    <w:p>
      <w:pPr>
        <w:spacing w:line="360" w:lineRule="auto"/>
        <w:jc w:val="both"/>
        <w:rPr>
          <w:rFonts w:eastAsia="Times New Roman"/>
          <w:sz w:val="28"/>
          <w:szCs w:val="28"/>
        </w:rPr>
      </w:pPr>
    </w:p>
    <w:p>
      <w:pPr>
        <w:spacing w:line="36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Планируемые результаты  освоения обучающимися программы (внеучебной) внеурочной деятельности</w:t>
      </w:r>
    </w:p>
    <w:p>
      <w:pPr>
        <w:spacing w:line="360" w:lineRule="auto"/>
        <w:ind w:left="26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Личностные результаты:</w:t>
      </w:r>
    </w:p>
    <w:p>
      <w:pPr>
        <w:numPr>
          <w:ilvl w:val="0"/>
          <w:numId w:val="7"/>
        </w:numPr>
        <w:tabs>
          <w:tab w:val="left" w:pos="412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>
      <w:pPr>
        <w:numPr>
          <w:ilvl w:val="0"/>
          <w:numId w:val="7"/>
        </w:numPr>
        <w:tabs>
          <w:tab w:val="left" w:pos="417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>
      <w:pPr>
        <w:numPr>
          <w:ilvl w:val="0"/>
          <w:numId w:val="7"/>
        </w:numPr>
        <w:tabs>
          <w:tab w:val="left" w:pos="42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жизненные ситуации с точки зрения безопасного образа жизни и сохранения здоровья;</w:t>
      </w:r>
    </w:p>
    <w:p>
      <w:pPr>
        <w:numPr>
          <w:ilvl w:val="0"/>
          <w:numId w:val="7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оценивать экологический риск взаимоотношений человека и природы.</w:t>
      </w:r>
    </w:p>
    <w:p>
      <w:pPr>
        <w:numPr>
          <w:ilvl w:val="0"/>
          <w:numId w:val="7"/>
        </w:numPr>
        <w:tabs>
          <w:tab w:val="left" w:pos="402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Метапредметными </w:t>
      </w:r>
      <w:r>
        <w:rPr>
          <w:rFonts w:eastAsia="Times New Roman"/>
          <w:sz w:val="28"/>
          <w:szCs w:val="28"/>
        </w:rPr>
        <w:t>результатами изучения курса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«Первые шаги в химии»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формирование универсальных учебных действий (УУД).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Регулятивные УУД:</w:t>
      </w:r>
    </w:p>
    <w:p>
      <w:pPr>
        <w:numPr>
          <w:ilvl w:val="0"/>
          <w:numId w:val="7"/>
        </w:numPr>
        <w:tabs>
          <w:tab w:val="left" w:pos="458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деятельности;</w:t>
      </w:r>
    </w:p>
    <w:p>
      <w:pPr>
        <w:numPr>
          <w:ilvl w:val="0"/>
          <w:numId w:val="7"/>
        </w:numPr>
        <w:tabs>
          <w:tab w:val="left" w:pos="471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>
      <w:pPr>
        <w:numPr>
          <w:ilvl w:val="0"/>
          <w:numId w:val="7"/>
        </w:numPr>
        <w:tabs>
          <w:tab w:val="left" w:pos="535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целеполагание, включая постановку новых целей, преобразование практической задачи в познавательную;</w:t>
      </w:r>
    </w:p>
    <w:p>
      <w:pPr>
        <w:numPr>
          <w:ilvl w:val="0"/>
          <w:numId w:val="7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составлять (индивидуально или в группе) план решения проблемы;</w:t>
      </w:r>
    </w:p>
    <w:p>
      <w:pPr>
        <w:numPr>
          <w:ilvl w:val="0"/>
          <w:numId w:val="7"/>
        </w:numPr>
        <w:tabs>
          <w:tab w:val="left" w:pos="45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>
      <w:pPr>
        <w:numPr>
          <w:ilvl w:val="0"/>
          <w:numId w:val="7"/>
        </w:numPr>
        <w:tabs>
          <w:tab w:val="left" w:pos="531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>
      <w:pPr>
        <w:numPr>
          <w:ilvl w:val="0"/>
          <w:numId w:val="7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Познавательные УУД:</w:t>
      </w:r>
    </w:p>
    <w:p>
      <w:pPr>
        <w:numPr>
          <w:ilvl w:val="0"/>
          <w:numId w:val="7"/>
        </w:numPr>
        <w:tabs>
          <w:tab w:val="left" w:pos="421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анализировать, </w:t>
      </w:r>
      <w:r>
        <w:rPr>
          <w:rFonts w:eastAsia="Times New Roman"/>
          <w:sz w:val="28"/>
          <w:szCs w:val="28"/>
        </w:rPr>
        <w:t>сравнивать,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классифицировать и обобщать факты и явления.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Выявлять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причины и следствия простых явлений.</w:t>
      </w:r>
    </w:p>
    <w:p>
      <w:pPr>
        <w:numPr>
          <w:ilvl w:val="0"/>
          <w:numId w:val="7"/>
        </w:numPr>
        <w:tabs>
          <w:tab w:val="left" w:pos="525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осуществлять </w:t>
      </w:r>
      <w:r>
        <w:rPr>
          <w:rFonts w:eastAsia="Times New Roman"/>
          <w:sz w:val="28"/>
          <w:szCs w:val="28"/>
        </w:rPr>
        <w:t>сравнение,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классификацию,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самостоятельно выбирая основания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критерии для указанных логических операций;</w:t>
      </w:r>
    </w:p>
    <w:p>
      <w:pPr>
        <w:numPr>
          <w:ilvl w:val="0"/>
          <w:numId w:val="7"/>
        </w:numPr>
        <w:tabs>
          <w:tab w:val="left" w:pos="435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строить </w:t>
      </w:r>
      <w:r>
        <w:rPr>
          <w:rFonts w:eastAsia="Times New Roman"/>
          <w:sz w:val="28"/>
          <w:szCs w:val="28"/>
        </w:rPr>
        <w:t>логическое рассуждение,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включающее установление причинно-следственных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связей.</w:t>
      </w:r>
    </w:p>
    <w:p>
      <w:pPr>
        <w:numPr>
          <w:ilvl w:val="0"/>
          <w:numId w:val="7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создавать </w:t>
      </w:r>
      <w:r>
        <w:rPr>
          <w:rFonts w:eastAsia="Times New Roman"/>
          <w:sz w:val="28"/>
          <w:szCs w:val="28"/>
        </w:rPr>
        <w:t>схематические модели с выделением существенных характеристик объекта.</w:t>
      </w:r>
    </w:p>
    <w:p>
      <w:pPr>
        <w:numPr>
          <w:ilvl w:val="0"/>
          <w:numId w:val="7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составлять </w:t>
      </w:r>
      <w:r>
        <w:rPr>
          <w:rFonts w:eastAsia="Times New Roman"/>
          <w:sz w:val="28"/>
          <w:szCs w:val="28"/>
        </w:rPr>
        <w:t>тезисы,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различные виды планов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(простых,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сложных и т.п.).</w:t>
      </w:r>
    </w:p>
    <w:p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преобразовывать </w:t>
      </w:r>
      <w:r>
        <w:rPr>
          <w:rFonts w:eastAsia="Times New Roman"/>
          <w:sz w:val="28"/>
          <w:szCs w:val="28"/>
        </w:rPr>
        <w:t>информацию из одного вида в другой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(таблицу в текст и пр.).</w:t>
      </w:r>
    </w:p>
    <w:p>
      <w:pPr>
        <w:numPr>
          <w:ilvl w:val="0"/>
          <w:numId w:val="8"/>
        </w:numPr>
        <w:tabs>
          <w:tab w:val="left" w:pos="46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уметь </w:t>
      </w:r>
      <w:r>
        <w:rPr>
          <w:rFonts w:eastAsia="Times New Roman"/>
          <w:sz w:val="28"/>
          <w:szCs w:val="28"/>
        </w:rPr>
        <w:t>определять возможные источники необходимых сведений,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производить поиск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информации, анализировать и оценивать её достоверность.</w:t>
      </w:r>
    </w:p>
    <w:p>
      <w:pPr>
        <w:numPr>
          <w:ilvl w:val="0"/>
          <w:numId w:val="8"/>
        </w:numPr>
        <w:tabs>
          <w:tab w:val="left" w:pos="40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обобщать понятия - осуществлять логическую операцию перехода от понятий с меньшим объемом понятиям с большим объемом;</w:t>
      </w:r>
    </w:p>
    <w:p>
      <w:pPr>
        <w:numPr>
          <w:ilvl w:val="0"/>
          <w:numId w:val="8"/>
        </w:numPr>
        <w:tabs>
          <w:tab w:val="left" w:pos="440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строить логические рассуждения, включающие установление причинно-следственных связей.</w:t>
      </w:r>
    </w:p>
    <w:p>
      <w:pPr>
        <w:numPr>
          <w:ilvl w:val="0"/>
          <w:numId w:val="8"/>
        </w:numPr>
        <w:tabs>
          <w:tab w:val="left" w:pos="456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явления, процессы, связи и отношения, выявляемые в ходе исследования, осуществлять выбор наиболее эффективных способов решения задач в зависимости от конкретных условий.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Коммуникативные УУД:</w:t>
      </w:r>
    </w:p>
    <w:p>
      <w:pPr>
        <w:numPr>
          <w:ilvl w:val="0"/>
          <w:numId w:val="8"/>
        </w:numPr>
        <w:tabs>
          <w:tab w:val="left" w:pos="550"/>
        </w:tabs>
        <w:spacing w:line="360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формулировать собственное мнение и позицию, аргументировать ее и координировать ее с позиции партнеров в сотрудничестве при выработке общего решения в совместной деятельности;</w:t>
      </w:r>
    </w:p>
    <w:p>
      <w:pPr>
        <w:numPr>
          <w:ilvl w:val="0"/>
          <w:numId w:val="8"/>
        </w:numPr>
        <w:tabs>
          <w:tab w:val="left" w:pos="534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отображать в речи содержание совершаемых действий, как в форме громкой социализированной речи, так и в форме внутренней речи;</w:t>
      </w:r>
    </w:p>
    <w:p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аргументировать свою точку зрения;</w:t>
      </w:r>
    </w:p>
    <w:p>
      <w:pPr>
        <w:numPr>
          <w:ilvl w:val="0"/>
          <w:numId w:val="8"/>
        </w:numPr>
        <w:tabs>
          <w:tab w:val="left" w:pos="432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осуществлять взаимный контроль и оказывать в сотрудничестве необходимую взаимопомощь;</w:t>
      </w:r>
    </w:p>
    <w:p>
      <w:pPr>
        <w:numPr>
          <w:ilvl w:val="0"/>
          <w:numId w:val="8"/>
        </w:numPr>
        <w:tabs>
          <w:tab w:val="left" w:pos="417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уметь работать в группе - устанавливать рабочие отношения, эффективно сотрудничать и способствовать продуктивной кооперации.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Предметными результатами </w:t>
      </w:r>
      <w:r>
        <w:rPr>
          <w:rFonts w:eastAsia="Times New Roman"/>
          <w:sz w:val="28"/>
          <w:szCs w:val="28"/>
        </w:rPr>
        <w:t>изучения предмета являются следующие умения:</w:t>
      </w:r>
    </w:p>
    <w:p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осознание роли веществ;</w:t>
      </w:r>
    </w:p>
    <w:p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определять роль различных веществ в природе и технике;</w:t>
      </w:r>
    </w:p>
    <w:p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роль веществ в их круговороте;</w:t>
      </w:r>
    </w:p>
    <w:p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рассмотрение химических процессов;</w:t>
      </w:r>
    </w:p>
    <w:p>
      <w:pPr>
        <w:numPr>
          <w:ilvl w:val="0"/>
          <w:numId w:val="8"/>
        </w:numPr>
        <w:tabs>
          <w:tab w:val="left" w:pos="403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знания химии при соблюдении правил использования бытовых химических препаратов;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различать опасные и безопасные вещества;</w:t>
      </w:r>
    </w:p>
    <w:p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приводить примеры химических процессов в природе;</w:t>
      </w:r>
    </w:p>
    <w:p>
      <w:pPr>
        <w:numPr>
          <w:ilvl w:val="0"/>
          <w:numId w:val="8"/>
        </w:numPr>
        <w:tabs>
          <w:tab w:val="left" w:pos="439"/>
        </w:tabs>
        <w:spacing w:line="36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 черты, свидетельствующие об общих признаках химических процессов и их различиях;</w:t>
      </w:r>
    </w:p>
    <w:p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химических знаний в быту;</w:t>
      </w:r>
    </w:p>
    <w:p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значение веществ в жизни и хозяйстве человека;</w:t>
      </w:r>
    </w:p>
    <w:p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объяснять мир с точки зрения химии;</w:t>
      </w:r>
    </w:p>
    <w:p>
      <w:pPr>
        <w:numPr>
          <w:ilvl w:val="0"/>
          <w:numId w:val="8"/>
        </w:numPr>
        <w:tabs>
          <w:tab w:val="left" w:pos="400"/>
        </w:tabs>
        <w:spacing w:line="360" w:lineRule="auto"/>
        <w:ind w:left="400" w:hanging="1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представления о будущем профессиональном выборе.</w:t>
      </w:r>
    </w:p>
    <w:p>
      <w:pPr>
        <w:spacing w:line="360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занятия призваны пробудить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>
      <w:pPr>
        <w:spacing w:line="360" w:lineRule="auto"/>
        <w:ind w:left="260"/>
        <w:jc w:val="both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Основанием для выделения требований к  уровню подготовки</w:t>
      </w:r>
      <w:r>
        <w:rPr>
          <w:rFonts w:eastAsia="Times New Roman"/>
          <w:sz w:val="28"/>
          <w:szCs w:val="28"/>
        </w:rPr>
        <w:t xml:space="preserve"> обучающихся выступает основная образовательная программа  ГБОУ СОШ №1 г. Нефтегорска.</w:t>
      </w:r>
    </w:p>
    <w:p>
      <w:pPr>
        <w:spacing w:line="360" w:lineRule="auto"/>
        <w:ind w:left="620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Способы определения результативности</w:t>
      </w:r>
      <w:r>
        <w:rPr>
          <w:rFonts w:eastAsia="Times New Roman"/>
          <w:sz w:val="28"/>
          <w:szCs w:val="28"/>
        </w:rPr>
        <w:t>:</w:t>
      </w:r>
    </w:p>
    <w:p>
      <w:pPr>
        <w:numPr>
          <w:ilvl w:val="0"/>
          <w:numId w:val="9"/>
        </w:numPr>
        <w:tabs>
          <w:tab w:val="left" w:pos="620"/>
        </w:tabs>
        <w:spacing w:line="360" w:lineRule="auto"/>
        <w:ind w:left="260" w:firstLine="2"/>
        <w:jc w:val="both"/>
        <w:rPr>
          <w:rFonts w:eastAsia="Arial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Начальный контроль (сентябрь)</w:t>
      </w:r>
      <w:r>
        <w:rPr>
          <w:rFonts w:eastAsia="Times New Roman"/>
          <w:sz w:val="28"/>
          <w:szCs w:val="28"/>
        </w:rPr>
        <w:t xml:space="preserve"> в виде визуального наблюдения педагога за соблюдением воспитанниками техники безопасности, поведением при работе с последующим обсуждением;</w:t>
      </w:r>
    </w:p>
    <w:p>
      <w:pPr>
        <w:numPr>
          <w:ilvl w:val="0"/>
          <w:numId w:val="9"/>
        </w:numPr>
        <w:tabs>
          <w:tab w:val="left" w:pos="620"/>
        </w:tabs>
        <w:spacing w:line="360" w:lineRule="auto"/>
        <w:ind w:left="260" w:firstLine="2"/>
        <w:jc w:val="both"/>
        <w:rPr>
          <w:rFonts w:eastAsia="Arial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Текущий контроль (в течение всего учебного года)</w:t>
      </w:r>
      <w:r>
        <w:rPr>
          <w:rFonts w:eastAsia="Times New Roman"/>
          <w:sz w:val="28"/>
          <w:szCs w:val="28"/>
        </w:rPr>
        <w:t xml:space="preserve"> в виде визуального наблюдения педагога за процессом выполнения учащимися практических работ, проектов, индивидуальных заданий, участия в предметной неделе естествознания;</w:t>
      </w:r>
    </w:p>
    <w:p>
      <w:pPr>
        <w:numPr>
          <w:ilvl w:val="0"/>
          <w:numId w:val="9"/>
        </w:numPr>
        <w:tabs>
          <w:tab w:val="left" w:pos="620"/>
        </w:tabs>
        <w:spacing w:line="360" w:lineRule="auto"/>
        <w:ind w:left="260" w:firstLine="2"/>
        <w:rPr>
          <w:rFonts w:eastAsia="Arial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Промежуточный контроль (тематический)</w:t>
      </w:r>
      <w:r>
        <w:rPr>
          <w:rFonts w:eastAsia="Times New Roman"/>
          <w:sz w:val="28"/>
          <w:szCs w:val="28"/>
        </w:rPr>
        <w:t xml:space="preserve"> в виде предметной диагностики знания детьми пройденных тем;</w:t>
      </w:r>
    </w:p>
    <w:p>
      <w:pPr>
        <w:numPr>
          <w:ilvl w:val="0"/>
          <w:numId w:val="9"/>
        </w:numPr>
        <w:tabs>
          <w:tab w:val="left" w:pos="620"/>
        </w:tabs>
        <w:spacing w:line="360" w:lineRule="auto"/>
        <w:ind w:left="260" w:firstLine="2"/>
        <w:jc w:val="both"/>
        <w:rPr>
          <w:rFonts w:eastAsia="Arial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Итоговый контроль (май)</w:t>
      </w:r>
      <w:r>
        <w:rPr>
          <w:rFonts w:eastAsia="Times New Roman"/>
          <w:sz w:val="28"/>
          <w:szCs w:val="28"/>
        </w:rPr>
        <w:t xml:space="preserve"> в виде изучения и анализа продуктов труда учащихся (проектов; сообщений, рефератов), процесса организации работы над продуктом и динамики личностных изменений.</w:t>
      </w:r>
    </w:p>
    <w:p>
      <w:pPr>
        <w:spacing w:line="360" w:lineRule="auto"/>
        <w:ind w:left="260"/>
        <w:rPr>
          <w:rFonts w:eastAsia="Aria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Формы учёта знаний, умений при  реализации программы.</w:t>
      </w:r>
    </w:p>
    <w:p>
      <w:pPr>
        <w:numPr>
          <w:ilvl w:val="0"/>
          <w:numId w:val="10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>Опрос;</w:t>
      </w:r>
    </w:p>
    <w:p>
      <w:pPr>
        <w:numPr>
          <w:ilvl w:val="0"/>
          <w:numId w:val="11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>Обсуждение;</w:t>
      </w:r>
    </w:p>
    <w:p>
      <w:pPr>
        <w:numPr>
          <w:ilvl w:val="0"/>
          <w:numId w:val="12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>Самостоятельная работа;</w:t>
      </w:r>
    </w:p>
    <w:p>
      <w:pPr>
        <w:numPr>
          <w:ilvl w:val="0"/>
          <w:numId w:val="13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>Тестирование;</w:t>
      </w:r>
    </w:p>
    <w:p>
      <w:pPr>
        <w:numPr>
          <w:ilvl w:val="0"/>
          <w:numId w:val="14"/>
        </w:numPr>
        <w:tabs>
          <w:tab w:val="left" w:pos="1520"/>
        </w:tabs>
        <w:spacing w:line="360" w:lineRule="auto"/>
        <w:ind w:left="1520" w:hanging="1258"/>
        <w:rPr>
          <w:rFonts w:eastAsia="Arial"/>
          <w:sz w:val="28"/>
          <w:szCs w:val="28"/>
        </w:rPr>
      </w:pPr>
      <w:r>
        <w:rPr>
          <w:rFonts w:eastAsia="Times New Roman"/>
          <w:sz w:val="28"/>
          <w:szCs w:val="28"/>
        </w:rPr>
        <w:t>Презентация и защита творческой работы (проекты и др.).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конце учебного года обучающийся должен выполнить и защитить проект. 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(Приложение 1. «Описание формы подведения итогов»).</w:t>
      </w:r>
    </w:p>
    <w:p>
      <w:pPr>
        <w:spacing w:line="360" w:lineRule="auto"/>
        <w:ind w:left="260"/>
        <w:rPr>
          <w:rFonts w:eastAsia="Times New Roman"/>
          <w:sz w:val="28"/>
          <w:szCs w:val="28"/>
        </w:rPr>
      </w:pPr>
    </w:p>
    <w:p>
      <w:pPr>
        <w:spacing w:line="360" w:lineRule="auto"/>
        <w:ind w:right="160"/>
        <w:jc w:val="center"/>
        <w:rPr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Тематический  план программы внеурочной деятельности «Мир химии»</w:t>
      </w:r>
    </w:p>
    <w:p>
      <w:pPr>
        <w:spacing w:line="360" w:lineRule="auto"/>
        <w:rPr>
          <w:sz w:val="28"/>
          <w:szCs w:val="28"/>
        </w:rPr>
      </w:pPr>
    </w:p>
    <w:tbl>
      <w:tblPr>
        <w:tblStyle w:val="3"/>
        <w:tblW w:w="13466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2870"/>
        <w:gridCol w:w="4394"/>
        <w:gridCol w:w="1134"/>
        <w:gridCol w:w="992"/>
        <w:gridCol w:w="99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32" w:type="dxa"/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7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394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Прак-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тика</w:t>
            </w:r>
          </w:p>
        </w:tc>
        <w:tc>
          <w:tcPr>
            <w:tcW w:w="2551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Используемое оборудование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32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70" w:type="dxa"/>
            <w:vMerge w:val="restart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Введение. (2ч.)</w:t>
            </w:r>
          </w:p>
        </w:tc>
        <w:tc>
          <w:tcPr>
            <w:tcW w:w="43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химии в естествознании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32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0" w:type="dxa"/>
            <w:vMerge w:val="restart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Экспериментальные основы химии.  (8ч.)</w:t>
            </w:r>
          </w:p>
        </w:tc>
        <w:tc>
          <w:tcPr>
            <w:tcW w:w="4394" w:type="dxa"/>
          </w:tcPr>
          <w:p>
            <w:pPr>
              <w:pStyle w:val="12"/>
              <w:numPr>
                <w:ilvl w:val="1"/>
                <w:numId w:val="15"/>
              </w:numPr>
              <w:ind w:left="142" w:hanging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Вещества. Приемы обращения с веществами. 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12"/>
              <w:numPr>
                <w:ilvl w:val="1"/>
                <w:numId w:val="15"/>
              </w:numPr>
              <w:ind w:left="142" w:hanging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безопасной работы при проведении эксперимента. Техника лабораторных работ.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12"/>
              <w:numPr>
                <w:ilvl w:val="1"/>
                <w:numId w:val="15"/>
              </w:numPr>
              <w:ind w:left="142" w:hanging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Нагревательные приборы. 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ind w:left="142" w:hanging="668"/>
            </w:pPr>
            <w:r>
              <w:rPr>
                <w:sz w:val="28"/>
                <w:szCs w:val="28"/>
              </w:rPr>
              <w:t xml:space="preserve">Чые Чистые вещества, особо чистые вещества. Примеси. Смеси. 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электропроводности, цифровой микроскоп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12"/>
              <w:numPr>
                <w:ilvl w:val="1"/>
                <w:numId w:val="15"/>
              </w:numPr>
              <w:ind w:left="142" w:hanging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познания в естествознании.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ind w:left="142" w:hanging="668"/>
            </w:pPr>
            <w:r>
              <w:rPr>
                <w:sz w:val="28"/>
                <w:szCs w:val="28"/>
              </w:rPr>
              <w:t>Вод Вода. Растворы. Морская и пресная вода. Биологические жидкости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температуры платиновый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ind w:left="142" w:hanging="668"/>
            </w:pPr>
            <w:r>
              <w:rPr>
                <w:sz w:val="28"/>
                <w:szCs w:val="28"/>
              </w:rPr>
              <w:t>МасМассовая доля растворенного вещества, или процентная концентрация вещества в растворе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оптической плотности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12"/>
              <w:numPr>
                <w:ilvl w:val="1"/>
                <w:numId w:val="15"/>
              </w:numPr>
              <w:ind w:left="142" w:hanging="6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Насыщенные и пересыщенные растворы.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 микроскоп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32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70" w:type="dxa"/>
            <w:vMerge w:val="restart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</w:t>
            </w:r>
          </w:p>
          <w:p>
            <w:pPr>
              <w:spacing w:after="200" w:line="276" w:lineRule="auto"/>
              <w:contextualSpacing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Знакомимся с миром наночастиц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(8ч.)</w:t>
            </w: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Моделирование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rFonts w:eastAsia="Times New Roman"/>
                <w:sz w:val="28"/>
                <w:szCs w:val="28"/>
              </w:rPr>
              <w:t>Строение вещества. Размеры частиц. Наночастицы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Коллоидные системы: почва, глина, природные воды, воздух дым, минералы, хлеб, молоко, масло, кровь…Коллоидные и истинные растворы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rFonts w:eastAsia="Times New Roman"/>
                <w:sz w:val="28"/>
                <w:szCs w:val="28"/>
              </w:rPr>
              <w:t>Методы и средства эмпирического исследования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rFonts w:eastAsia="Times New Roman"/>
                <w:color w:val="000000"/>
                <w:sz w:val="28"/>
                <w:szCs w:val="28"/>
              </w:rPr>
              <w:t>Как степень измельченности влияет на общую площадь соприкасающихся частиц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Нанообъекты и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обусловленность их уникальных свойств резким увеличением площади поверхности частиц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32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70" w:type="dxa"/>
            <w:vMerge w:val="restart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4.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 на страже здоровья. (6ч.)</w:t>
            </w: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Йод.  Возгонка йода. Йод из аптеки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«Марганцовка». Перманганат калия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АПХР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Перекись водорода. Свойства и применение пероксида водорода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 для получения водорода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Ацетилсалициловая кислота. Аскорбиновая кислота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«Зеленка» или бриллиантовый зеленый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«Мыло чудесное»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532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0" w:type="dxa"/>
            <w:vMerge w:val="restart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5.</w:t>
            </w:r>
          </w:p>
          <w:p>
            <w:pPr>
              <w:spacing w:after="200" w:line="276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Химия пищи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(5ч.)</w:t>
            </w: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Сахар, крахмал, целлюлоза – родственники глюкозы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Алюминий: великий и ужасный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Уксусная кислота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рН, датчик электропроводности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 xml:space="preserve">«Соленая наша жизнь» 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r>
              <w:rPr>
                <w:sz w:val="28"/>
                <w:szCs w:val="28"/>
              </w:rPr>
              <w:t>Вред нитратов: миф или правда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Датчик электропроводности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32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70" w:type="dxa"/>
            <w:vMerge w:val="restart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6.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над проектами.</w:t>
            </w: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(5ч.)</w:t>
            </w: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16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Этап выбора темы, постановки цели, задач исследования .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16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Этап выдвижения гипотезы.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16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Этап планирования пути достижения целей исследовательских (проектных) работ и выбора необходимого инструментария.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16"/>
              </w:numPr>
              <w:ind w:left="426" w:hanging="284"/>
              <w:jc w:val="both"/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Этап проведения учебного исследования (проектной работы) с промежуточным  контролем за ходом выполн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r>
              <w:rPr>
                <w:rFonts w:eastAsia="Times New Roman"/>
                <w:i/>
                <w:sz w:val="28"/>
                <w:szCs w:val="28"/>
              </w:rPr>
              <w:t>ния и коррекцией результатов.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16"/>
              </w:numPr>
              <w:ind w:left="426" w:hanging="284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Этап оформления, представления (защиты) продукта проектной работы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32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39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eastAsia="Times New Roman"/>
          <w:b/>
          <w:bCs/>
          <w:sz w:val="28"/>
          <w:szCs w:val="28"/>
          <w:u w:val="single"/>
        </w:rPr>
      </w:pPr>
    </w:p>
    <w:p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Содержание курса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Инструктаж по технике безопасности проводится на каждом занятии перед проведением эксперимента.</w:t>
      </w:r>
    </w:p>
    <w:p>
      <w:pPr>
        <w:spacing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Введение</w:t>
      </w:r>
    </w:p>
    <w:p>
      <w:pPr>
        <w:numPr>
          <w:ilvl w:val="1"/>
          <w:numId w:val="15"/>
        </w:numPr>
        <w:spacing w:after="200" w:line="360" w:lineRule="auto"/>
        <w:ind w:left="805" w:hanging="44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Вводное занятие.</w:t>
      </w:r>
      <w:r>
        <w:rPr>
          <w:rFonts w:eastAsiaTheme="minorHAnsi"/>
          <w:sz w:val="28"/>
          <w:szCs w:val="28"/>
          <w:lang w:eastAsia="en-US"/>
        </w:rPr>
        <w:t xml:space="preserve"> Знакомство учащихся с новым учебным курсом во внеурочной деятельности. </w:t>
      </w:r>
    </w:p>
    <w:p>
      <w:pPr>
        <w:numPr>
          <w:ilvl w:val="1"/>
          <w:numId w:val="15"/>
        </w:numPr>
        <w:spacing w:after="200" w:line="360" w:lineRule="auto"/>
        <w:ind w:left="805" w:hanging="44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Место химии в естествознании</w:t>
      </w:r>
      <w:r>
        <w:rPr>
          <w:rFonts w:eastAsiaTheme="minorHAnsi"/>
          <w:sz w:val="28"/>
          <w:szCs w:val="28"/>
          <w:lang w:eastAsia="en-US"/>
        </w:rPr>
        <w:t>. Зарождение химии как науки. Связь химии с практической жизнью человека.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</w:t>
      </w:r>
      <w:r>
        <w:rPr>
          <w:rFonts w:eastAsiaTheme="minorHAnsi"/>
          <w:sz w:val="28"/>
          <w:szCs w:val="28"/>
          <w:lang w:eastAsia="en-US"/>
        </w:rPr>
        <w:t>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Создание познавательных кроссвордов и других интерактивных упражнений на </w:t>
      </w:r>
      <w:r>
        <w:rPr>
          <w:rFonts w:eastAsiaTheme="minorHAnsi"/>
          <w:sz w:val="28"/>
          <w:szCs w:val="28"/>
          <w:lang w:val="en-US" w:eastAsia="en-US"/>
        </w:rPr>
        <w:t>LearningAps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val="en-US" w:eastAsia="en-US"/>
        </w:rPr>
        <w:t>org</w:t>
      </w:r>
      <w:r>
        <w:rPr>
          <w:rFonts w:eastAsiaTheme="minorHAnsi"/>
          <w:sz w:val="28"/>
          <w:szCs w:val="28"/>
          <w:lang w:eastAsia="en-US"/>
        </w:rPr>
        <w:t xml:space="preserve"> или </w:t>
      </w:r>
      <w:r>
        <w:rPr>
          <w:rFonts w:eastAsiaTheme="minorHAnsi"/>
          <w:sz w:val="28"/>
          <w:szCs w:val="28"/>
          <w:lang w:val="en-US" w:eastAsia="en-US"/>
        </w:rPr>
        <w:t>MyTest</w:t>
      </w:r>
      <w:r>
        <w:rPr>
          <w:rFonts w:eastAsiaTheme="minorHAnsi"/>
          <w:sz w:val="28"/>
          <w:szCs w:val="28"/>
          <w:lang w:eastAsia="en-US"/>
        </w:rPr>
        <w:t>.</w:t>
      </w:r>
    </w:p>
    <w:p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Экспериментальные основы химии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Вещества. Приемы обращения с веществами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Изучение правил техники безопасности, предупреждающих и  запрещающих знаков. Первая помощь. Противопожарные средства защиты.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Знакомство с веществами, встречающимися в быту: йодная настойка, медь, алюминий, соль, пищевая сода, лимонная кислота, уксусная кислота, вода, медный купорос. Отличие веществ по физическим свойствам: агрегатное состояние, цвет, запах, вкус, растворимость. Правила хранения веществ в лаборатории. Токсичность веществ для живых организмов определяется их химическими свойствами, их способностью вступать в химические реакции. Проявления токсичных веществ у человека: химический ожог, раздражение слизистых оболочек, катар дыхательных путей, аллергические реакции, острые дерматиты, канцерогенное действие, поражения органов, возможность летальных исходов. Правила отбора веществ (твердые, порошкообразные, жидкие, водные растворы, особое внимание – работа только с малыми объемами веществ).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Тест</w:t>
      </w:r>
      <w:r>
        <w:rPr>
          <w:rFonts w:eastAsiaTheme="minorHAnsi"/>
          <w:sz w:val="28"/>
          <w:szCs w:val="28"/>
          <w:lang w:eastAsia="en-US"/>
        </w:rPr>
        <w:t xml:space="preserve"> на основе заданий из открытого банка ФИПИ (раздел «Методы познания»)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Правила безопасной работы при проведении эксперимента. Техника лабораторных работ</w:t>
      </w:r>
      <w:r>
        <w:rPr>
          <w:rFonts w:eastAsiaTheme="minorHAnsi"/>
          <w:sz w:val="28"/>
          <w:szCs w:val="28"/>
          <w:lang w:eastAsia="en-US"/>
        </w:rPr>
        <w:t>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Знакомство с лабораторным оборудованием: стеклянная посуда (химические стаканы, колбы, воронки, делительные воронки, мерная посуда), весы, штативы для пробирок и приборов, нагревательный прибор-спиртовка, фарфоровая посуда (выпаривательные чашки, тигли, ступки, шпатели) и др.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Безопасная работа со стеклом, пробками (демонстрация резки стеклянных трубок, их нагревания для изменения формы).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Сборка прибора для получения газов. Проверка на герметичность. Закрепление его на штативе. Рисунок прибора при помощи трафарета.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Нагревательные приборы.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Спиртовка. Газовая горелка. Плитка. Водяная баня. Назначение нагревательных приборов.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Изучение спиртовки: составные части и их функция.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Горючее топливо для спиртовок: этиловый спирт. Особенности реакции горения: выделение тепла и света. Сухое горючее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Правила нагревания пробирок с водными растворами (предварительный прогрев всей поверхности, обязательный наклон пробирки, отверстие пробирки «от себя», закрепление держателя пробирки).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Использование тиглей при прокаливании веществ. Назначение операции прокаливания.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Изучение пламени. Рисунок пламени.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Сборка прибора для выпаривания соли (кольцо на штатив, выпаривательная чашка, водный раствор соли,  спиртовка). Рисунок прибора при помощи трафарета. 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</w:rPr>
        <w:t>Чистые вещества, особо чистые вещества. Примеси. Смеси.</w:t>
      </w:r>
      <w:r>
        <w:rPr>
          <w:rFonts w:eastAsiaTheme="minorHAnsi"/>
          <w:sz w:val="28"/>
          <w:szCs w:val="28"/>
        </w:rPr>
        <w:t xml:space="preserve"> Способы очистки веществ от примесей и разделения смесей. Фильтрование. Перегонка. Кристаллизация. Разделение с помощью магнита, делительной воронки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</w:rPr>
      </w:pPr>
      <w:r>
        <w:rPr>
          <w:rFonts w:eastAsiaTheme="minorHAnsi"/>
          <w:i/>
          <w:sz w:val="28"/>
          <w:szCs w:val="28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 вариант: смесь речного песка и сахара.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 вариант: смесь речного песка и поваренной соли.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Составить схему последовательности операций (растворение, фильтрование, выпаривание). Сравнить и обсудить результаты двух вариантов. Обратить внимание на смесь сахара и песка (у некоторых чашки  покрылись коричневой массой), на важность условий проведения эксперимента, в данном случае на своевременное прекращение нагрева.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Методы познания в естествознании.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Наблюдение. Эксперимент. Моделирование.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Условия проведения наблюдения как основного метода познания. Мыслительный и реальный эксперимент. Универсальные знания человечества на основе наблюдения. Физические и химические явления.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Броуновское движение под микроскопом. Обнаружение жира в семенах подсолнечника. Обнаружение крахмала в картофеле. Обнаружение углекислого газа в выдыхаемом воздухе. Добавление лимонной кислоты в чай. Оформление работы.</w:t>
      </w:r>
    </w:p>
    <w:tbl>
      <w:tblPr>
        <w:tblStyle w:val="10"/>
        <w:tblW w:w="0" w:type="auto"/>
        <w:tblInd w:w="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2851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2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Название опыта</w:t>
            </w:r>
          </w:p>
        </w:tc>
        <w:tc>
          <w:tcPr>
            <w:tcW w:w="2851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Как выполняли</w:t>
            </w:r>
          </w:p>
        </w:tc>
        <w:tc>
          <w:tcPr>
            <w:tcW w:w="2851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Что наблюдали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2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51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</w:tbl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Обратить внимание на практические задания прошлых занятий. Акцентировать, что метод наблюдения – основной метод познания.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Вода. Растворы. Морская и пресная вода. Биологические жидкости</w:t>
      </w:r>
      <w:r>
        <w:rPr>
          <w:rFonts w:eastAsiaTheme="minorHAnsi"/>
          <w:sz w:val="28"/>
          <w:szCs w:val="28"/>
          <w:lang w:eastAsia="en-US"/>
        </w:rPr>
        <w:t xml:space="preserve">: кровь, лимфа, клеточный сок. Экологические проблемы воды. Электропроводность как свойство растворов электролитов (правила безопасности с электроприборами). 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Определение с помощью электропроводности растворов: в каком химическом стакане находится дистиллированная вода. Даны три раствора: раствор поваренной соли, раствор сахара, дистиллированная вода. Оформление работы.</w:t>
      </w:r>
    </w:p>
    <w:tbl>
      <w:tblPr>
        <w:tblStyle w:val="10"/>
        <w:tblW w:w="0" w:type="auto"/>
        <w:tblInd w:w="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Название раствора</w:t>
            </w:r>
          </w:p>
        </w:tc>
        <w:tc>
          <w:tcPr>
            <w:tcW w:w="492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Что наблюдаем (загорается лампочка или нет)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</w:tbl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распознать: в каком стакане – дистиллированная вода и раствор сахара. Должны предложить два способа: органолептический и выпаривание.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«Изготовление самодельного прибора для исследования электропроводности растворов»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Массовая доля растворенного вещества, или процентная концентрация вещества в растворе.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Взвешивание. Разновесы. Навеска. Мерная посуда (мерные стаканы, колбы, цилиндры).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Приготовление растворов поваренной соли заданной концентрации.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</w:rPr>
        <w:t>Приготовление шипучего напитка из пищевой соды, лимонной кислоты, сахара и аскорбиновой кислоты: каждая группа определяет количество веществ на свое усмотрение. Сравнение и обсуждение приготовленных напитков с т.зр. вкуса, фиксации наблюдаемых эффектов, расчетов или выполнения «на глазок», экспериментальной культуры.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Насыщенные и пересыщенные растворы.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Методика выращивания кристаллов.</w:t>
      </w:r>
      <w:r>
        <w:rPr>
          <w:rFonts w:eastAsiaTheme="minorHAnsi"/>
          <w:sz w:val="28"/>
          <w:szCs w:val="28"/>
          <w:lang w:eastAsia="en-US"/>
        </w:rPr>
        <w:t xml:space="preserve"> Монокристалл. Кристаллические друзы. Что такое «затравка».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Демонстрация пересыщенного раствора ацетата натрия.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Приготовление насыщенных и пересыщенных растворов. Приготовление водных растворов медного купороса, хлорида натрия, сахарозы для выращивания кристаллов. Выращивание кристаллов из раствора каменной соли и иодированной соли: есть ли разница. Почему для выращивания кристаллов каменная соль лучше, чем иодированная. Получение окрашенных кристаллов соли с использованием пищевых красителей. Выращивание кристаллов медного купороса из водно-спиртовых растворов. </w:t>
      </w:r>
    </w:p>
    <w:p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Знакомимся с миром наночастиц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Моделирование.</w:t>
      </w:r>
      <w:r>
        <w:rPr>
          <w:rFonts w:eastAsiaTheme="minorHAnsi"/>
          <w:sz w:val="28"/>
          <w:szCs w:val="28"/>
          <w:lang w:eastAsia="en-US"/>
        </w:rPr>
        <w:t xml:space="preserve"> Модели в естествознании (глобус, карты, физические модели, биологические муляжи, кристаллические решетки). Модели атомов и молекул в химии.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Изготовление моделей молекул из подручных средств. Работа воображения.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Строение вещества. Размеры частиц. Наночастицы.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Проектная задача № 1.</w:t>
      </w:r>
      <w:r>
        <w:rPr>
          <w:rFonts w:eastAsiaTheme="minorHAnsi"/>
          <w:sz w:val="28"/>
          <w:szCs w:val="28"/>
          <w:lang w:eastAsia="en-US"/>
        </w:rPr>
        <w:t xml:space="preserve">  Как узнать примерные размеры витаминного драже «Ундевит», «Ревит», упаковки которых расположены у вас на столах, не открывая баночек.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Проектная задача № 2.</w:t>
      </w:r>
      <w:r>
        <w:rPr>
          <w:rFonts w:eastAsiaTheme="minorHAnsi"/>
          <w:sz w:val="28"/>
          <w:szCs w:val="28"/>
          <w:lang w:eastAsia="en-US"/>
        </w:rPr>
        <w:t xml:space="preserve"> У Вас на столах находятся мерный цилиндр, колба с водой, весы рычажного типа с набором разновесов. Предложите способы определения размеров молекул воды (практический и теоретический).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Вопрос:</w:t>
      </w:r>
      <w:r>
        <w:rPr>
          <w:rFonts w:eastAsiaTheme="minorHAnsi"/>
          <w:sz w:val="28"/>
          <w:szCs w:val="28"/>
          <w:lang w:eastAsia="en-US"/>
        </w:rPr>
        <w:t xml:space="preserve"> Относится ли молекула воды к наночастицам? Почему вирусы называют нанороботами?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Коллоидные системы: почва, глина, природные воды, воздух дым, минералы, хлеб, молоко, масло, кровь…Коллоидные и истинные растворы. </w:t>
      </w:r>
      <w:r>
        <w:rPr>
          <w:rFonts w:eastAsiaTheme="minorHAnsi"/>
          <w:sz w:val="28"/>
          <w:szCs w:val="28"/>
          <w:lang w:eastAsia="en-US"/>
        </w:rPr>
        <w:t xml:space="preserve">Оптические свойства: «эффект Тиндаля», «явление искрящихся слоев». Коллоидные частицы и их размеры. </w:t>
      </w:r>
      <w:r>
        <w:rPr>
          <w:rFonts w:eastAsiaTheme="minorHAnsi"/>
          <w:i/>
          <w:sz w:val="28"/>
          <w:szCs w:val="28"/>
          <w:lang w:eastAsia="en-US"/>
        </w:rPr>
        <w:t>Экспериментальная задача № 1.</w:t>
      </w:r>
      <w:r>
        <w:rPr>
          <w:rFonts w:eastAsiaTheme="minorHAnsi"/>
          <w:sz w:val="28"/>
          <w:szCs w:val="28"/>
          <w:lang w:eastAsia="en-US"/>
        </w:rPr>
        <w:t xml:space="preserve"> На столах: лазерная указка и лазерный фонарик с красным лучом, два химических стакана: в одном заваренный пакетик чая, в другом – чистая вода. Пропустите луч лазерного фонарика через стаканы. В каком стакане, по-вашему мнению, находится коллоидная система? На чем основывается ваше предположение?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Экспериментальная  задача № 2. </w:t>
      </w:r>
      <w:r>
        <w:rPr>
          <w:rFonts w:eastAsiaTheme="minorHAnsi"/>
          <w:sz w:val="28"/>
          <w:szCs w:val="28"/>
          <w:lang w:eastAsia="en-US"/>
        </w:rPr>
        <w:t>Вам выданы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растворы ацетата свинца </w:t>
      </w:r>
      <w:r>
        <w:rPr>
          <w:rFonts w:eastAsiaTheme="minorHAnsi"/>
          <w:sz w:val="28"/>
          <w:szCs w:val="28"/>
          <w:lang w:val="en-US" w:eastAsia="en-US"/>
        </w:rPr>
        <w:t>Pb</w:t>
      </w:r>
      <w:r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val="en-US" w:eastAsia="en-US"/>
        </w:rPr>
        <w:t>CH</w:t>
      </w:r>
      <w:r>
        <w:rPr>
          <w:rFonts w:eastAsiaTheme="minorHAnsi"/>
          <w:sz w:val="28"/>
          <w:szCs w:val="28"/>
          <w:vertAlign w:val="subscript"/>
          <w:lang w:eastAsia="en-US"/>
        </w:rPr>
        <w:t>3</w:t>
      </w:r>
      <w:r>
        <w:rPr>
          <w:rFonts w:eastAsiaTheme="minorHAnsi"/>
          <w:sz w:val="28"/>
          <w:szCs w:val="28"/>
          <w:lang w:val="en-US" w:eastAsia="en-US"/>
        </w:rPr>
        <w:t>COO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2 </w:t>
      </w:r>
      <w:r>
        <w:rPr>
          <w:rFonts w:eastAsiaTheme="minorHAnsi"/>
          <w:sz w:val="28"/>
          <w:szCs w:val="28"/>
          <w:lang w:eastAsia="en-US"/>
        </w:rPr>
        <w:t xml:space="preserve"> и иодида калия </w:t>
      </w:r>
      <w:r>
        <w:rPr>
          <w:rFonts w:eastAsiaTheme="minorHAnsi"/>
          <w:sz w:val="28"/>
          <w:szCs w:val="28"/>
          <w:lang w:val="en-US" w:eastAsia="en-US"/>
        </w:rPr>
        <w:t>KI</w:t>
      </w:r>
      <w:r>
        <w:rPr>
          <w:rFonts w:eastAsiaTheme="minorHAnsi"/>
          <w:sz w:val="28"/>
          <w:szCs w:val="28"/>
          <w:lang w:eastAsia="en-US"/>
        </w:rPr>
        <w:t xml:space="preserve">, штатив с пробирками, спиртовая горелка, пробиркодержатель. В пробирку налейте 2 мл раствора </w:t>
      </w:r>
      <w:r>
        <w:rPr>
          <w:rFonts w:eastAsiaTheme="minorHAnsi"/>
          <w:sz w:val="28"/>
          <w:szCs w:val="28"/>
          <w:lang w:val="en-US" w:eastAsia="en-US"/>
        </w:rPr>
        <w:t>KI</w:t>
      </w:r>
      <w:r>
        <w:rPr>
          <w:rFonts w:eastAsiaTheme="minorHAnsi"/>
          <w:sz w:val="28"/>
          <w:szCs w:val="28"/>
          <w:lang w:eastAsia="en-US"/>
        </w:rPr>
        <w:t xml:space="preserve"> (высотой 2 см) и затем прилейте 2 мл раствора </w:t>
      </w:r>
      <w:r>
        <w:rPr>
          <w:rFonts w:eastAsiaTheme="minorHAnsi"/>
          <w:sz w:val="28"/>
          <w:szCs w:val="28"/>
          <w:lang w:val="en-US" w:eastAsia="en-US"/>
        </w:rPr>
        <w:t>Pb</w:t>
      </w:r>
      <w:r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val="en-US" w:eastAsia="en-US"/>
        </w:rPr>
        <w:t>CH</w:t>
      </w:r>
      <w:r>
        <w:rPr>
          <w:rFonts w:eastAsiaTheme="minorHAnsi"/>
          <w:sz w:val="28"/>
          <w:szCs w:val="28"/>
          <w:vertAlign w:val="subscript"/>
          <w:lang w:eastAsia="en-US"/>
        </w:rPr>
        <w:t>3</w:t>
      </w:r>
      <w:r>
        <w:rPr>
          <w:rFonts w:eastAsiaTheme="minorHAnsi"/>
          <w:sz w:val="28"/>
          <w:szCs w:val="28"/>
          <w:lang w:val="en-US" w:eastAsia="en-US"/>
        </w:rPr>
        <w:t>COO</w:t>
      </w:r>
      <w:r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vertAlign w:val="subscript"/>
          <w:lang w:eastAsia="en-US"/>
        </w:rPr>
        <w:t xml:space="preserve">2 </w:t>
      </w:r>
      <w:r>
        <w:rPr>
          <w:rFonts w:eastAsiaTheme="minorHAnsi"/>
          <w:sz w:val="28"/>
          <w:szCs w:val="28"/>
          <w:lang w:eastAsia="en-US"/>
        </w:rPr>
        <w:t>. Образуется желтый осадок. Нагрейте пробирку до растворения осадка. Затем охладите пробирку около 2-3 мин и помещаем в сосуд с холодной ледяной водой. Что наблюдаете? Что происходит при встряхивании пробирки?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Итак, вы только что обнаружили различие между истинными растворами и коллоидными растворами. В последних вы наблюдали  проявление оптических эффектов: «эффект Тиндаля» (эксп. зад. №1) и «явление искрящихся слоев» (эксп. зад.№2).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Вопрос: Как доказать, что мыльный раствор является коллоидной системой? (По рассеянию света в растворе  -конус Тиндаля).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Что происходит если в мыльный раствор добавить поваренную соль? (Прозрачный прежде раствор резко мутнеет, образуются крупные хлопья). Знакомство с явлениями коагуляции и высаливания.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Проектная задача № 1.</w:t>
      </w:r>
      <w:r>
        <w:rPr>
          <w:rFonts w:eastAsiaTheme="minorHAnsi"/>
          <w:sz w:val="28"/>
          <w:szCs w:val="28"/>
          <w:lang w:eastAsia="en-US"/>
        </w:rPr>
        <w:t xml:space="preserve">Два ученика приготовили смесь из растительного масла и воды: добавив половину чайной ложки масла в 200 мл воды. Один из них утверждает, что полученная смесь является коллоидным раствором, а другой это отрицает. Кто прав? Свой ответ иллюстрируйте снимками на мобильном телефоне. (Правы оба ученика. Все зависит от особенностей приготовления смеси. Если просто размешать масло в воде, то конус Тиндаля не наблюдается. Если же активно взбалтывать смесь в течение некоторого времени, то смесь мутнеет и в таком растворе хорошо виден конус рассеянного света, то есть появляются мелкодисперсные частицы капелек масла). </w:t>
      </w:r>
    </w:p>
    <w:p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Вывод: коллоидные растворы можно обнаружить по оптическому тесту «эффект Тиндаля», который обнаруживается, если коллоидные частицы не превышают диапазон наноразмеров.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Методы и средства эмпирического исследования</w:t>
      </w:r>
      <w:r>
        <w:rPr>
          <w:rFonts w:eastAsia="Times New Roman"/>
          <w:sz w:val="28"/>
          <w:szCs w:val="28"/>
        </w:rPr>
        <w:t>.</w:t>
      </w:r>
    </w:p>
    <w:p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предыдущих занятиях Вы выполняли экспериментальные и проектные задачи. Как вы думаете, какие методы исследования вы использовали?</w:t>
      </w:r>
    </w:p>
    <w:p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 Наблюдение. 2. Эксперимент. 3. Измерение. 4. Сравнение</w:t>
      </w:r>
    </w:p>
    <w:p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Вспомните задания, просмотрите свои записи и прокомментируйте их с точки зрения использованных методов исследования. Чем вы пользовались, чтобы решить поставленную перед вами проблему.</w:t>
      </w:r>
    </w:p>
    <w:p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</w:rPr>
        <w:t>Проектная задача № 1.</w:t>
      </w:r>
      <w:r>
        <w:rPr>
          <w:rFonts w:eastAsia="Times New Roman"/>
          <w:color w:val="000000"/>
          <w:sz w:val="28"/>
          <w:szCs w:val="28"/>
        </w:rPr>
        <w:t xml:space="preserve"> Найдите, чему равна плотность алюминиевой фольги и медной или стальной болванки неправильной формы, которые лежат на ваших столах. Идет обсуждение. </w:t>
      </w:r>
    </w:p>
    <w:p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Должны предложить план решения этой задачи, определить какие необходимы измерительные приборы для решения этой задачи.</w:t>
      </w:r>
    </w:p>
    <w:p>
      <w:pPr>
        <w:spacing w:line="360" w:lineRule="auto"/>
        <w:ind w:left="810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Сравнить найденное значение плотности алюминия, меди или стали  со справочной величиной.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i/>
          <w:color w:val="000000"/>
          <w:sz w:val="28"/>
          <w:szCs w:val="28"/>
        </w:rPr>
        <w:t>Как степень измельченности влияет на общую площадь соприкасающихся частиц.</w:t>
      </w:r>
      <w:r>
        <w:rPr>
          <w:rFonts w:eastAsia="Times New Roman"/>
          <w:color w:val="000000"/>
          <w:sz w:val="28"/>
          <w:szCs w:val="28"/>
        </w:rPr>
        <w:t xml:space="preserve"> Объемные взрывы на мукомольном заводе, древесно-стружечном предприятии.</w:t>
      </w:r>
      <w:r>
        <w:rPr>
          <w:rFonts w:eastAsia="Times New Roman"/>
          <w:b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Почему нельзя использовать бензин для розжига дров. </w:t>
      </w:r>
      <w:r>
        <w:rPr>
          <w:rFonts w:eastAsiaTheme="minorHAnsi"/>
          <w:sz w:val="28"/>
          <w:szCs w:val="28"/>
          <w:lang w:eastAsia="en-US"/>
        </w:rPr>
        <w:t xml:space="preserve">Вспомнить «что такое площадь», «единицы измерения площади».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Проектная задача № 1</w:t>
      </w:r>
      <w:r>
        <w:rPr>
          <w:rFonts w:eastAsiaTheme="minorHAnsi"/>
          <w:sz w:val="28"/>
          <w:szCs w:val="28"/>
          <w:lang w:eastAsia="en-US"/>
        </w:rPr>
        <w:t>. У вас на столах находятся либо кубик Рубика, либо маленькая упаковка сахара-рафинада. Найдите площадь целого кубика и общую площадь 9 малых кубиков, из которых состоит большой кубик; или целой упаковки сахара и общую площадь всех кусочков сахара в упаковке. Сравните значения площади целой фигуры и суммарной площади ее частей? Какую закономерность мы можем наблюдать?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b/>
          <w:i/>
          <w:color w:val="000000"/>
          <w:sz w:val="28"/>
          <w:szCs w:val="28"/>
        </w:rPr>
        <w:t>Нанообъекты и обусловленность их уникальных свойств резким увеличением площади поверхности частиц</w:t>
      </w:r>
      <w:r>
        <w:rPr>
          <w:rFonts w:eastAsia="Times New Roman"/>
          <w:color w:val="000000"/>
          <w:sz w:val="28"/>
          <w:szCs w:val="28"/>
        </w:rPr>
        <w:t xml:space="preserve">: наночастицы, нанопленки, нановолокна, нанотрубки, наношарики, дендримеры, цеолиты, квантовые точки. 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Проектная задача № 2.</w:t>
      </w:r>
      <w:r>
        <w:rPr>
          <w:rFonts w:eastAsiaTheme="minorHAnsi"/>
          <w:sz w:val="28"/>
          <w:szCs w:val="28"/>
          <w:lang w:eastAsia="en-US"/>
        </w:rPr>
        <w:t xml:space="preserve"> Ухо лося имеет длину 12-13 мм, а частица магнетита Fe3O4 – 20 нм. Увеличьте их в 1 миллиард раз. С какими объектами вы теперь будете их сравнивать? Какие физические величины изменяются при изменении линейных размеров?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</w:p>
    <w:p>
      <w:pPr>
        <w:spacing w:line="360" w:lineRule="auto"/>
        <w:ind w:left="8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Theme="minorHAnsi"/>
          <w:i/>
          <w:sz w:val="28"/>
          <w:szCs w:val="28"/>
          <w:lang w:eastAsia="en-US"/>
        </w:rPr>
        <w:t>Проектная задача № 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="Times New Roman"/>
          <w:sz w:val="28"/>
          <w:szCs w:val="28"/>
        </w:rPr>
        <w:t>Сколько листов бумаги А4 войдет в  стакан объемом 100 мл?</w:t>
      </w:r>
    </w:p>
    <w:p>
      <w:pPr>
        <w:spacing w:line="360" w:lineRule="auto"/>
        <w:ind w:left="8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Каждой группе выданы листы бумаги А4 и химические стаканы объемом 100 мл.  Каждая группа ищет ответ на этот вопрос.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Предлагаем помощь: сомните листы в комок. Сколько комков бумаги вошло в один стакан? </w:t>
      </w:r>
    </w:p>
    <w:p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Найдите площадь отдельного листа А4 и площадь поверхности химического стакана. Найдите суммарную площадь комков бумаги, находящихся в стакане? </w:t>
      </w:r>
    </w:p>
    <w:p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Делают вывод: она оказалась значительно больше площади поверхности стакана.</w:t>
      </w:r>
    </w:p>
    <w:p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Каким образом мы увеличили суммарную площадь поверхности бумаги? (Уменьшением объема одного листа)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Нанообъекты и </w:t>
      </w:r>
      <w:r>
        <w:rPr>
          <w:rFonts w:eastAsia="Times New Roman"/>
          <w:b/>
          <w:i/>
          <w:color w:val="000000"/>
          <w:sz w:val="28"/>
          <w:szCs w:val="28"/>
        </w:rPr>
        <w:t>обусловленность их уникальных свойств резким увеличением площади поверхности частиц</w:t>
      </w:r>
      <w:r>
        <w:rPr>
          <w:rFonts w:eastAsiaTheme="minorHAnsi"/>
          <w:sz w:val="28"/>
          <w:szCs w:val="28"/>
          <w:lang w:eastAsia="en-US"/>
        </w:rPr>
        <w:t xml:space="preserve">: наночастицы, нанопленки, нановолокна, нанотрубки, наношарики, дендримеры, цеолиты, квантовые  точки. </w:t>
      </w:r>
    </w:p>
    <w:p>
      <w:pPr>
        <w:spacing w:line="360" w:lineRule="auto"/>
        <w:ind w:left="76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Проектная задача № 4.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Найдите площадь своей черепной коробки и сравните ее с площадью поверхности больших полушарий и черепной коробки, если </w:t>
      </w:r>
      <w:r>
        <w:rPr>
          <w:rFonts w:eastAsia="Times New Roman"/>
          <w:sz w:val="28"/>
          <w:szCs w:val="28"/>
          <w:lang w:val="en-US"/>
        </w:rPr>
        <w:t>S</w:t>
      </w:r>
      <w:r>
        <w:rPr>
          <w:rFonts w:eastAsia="Times New Roman"/>
          <w:sz w:val="28"/>
          <w:szCs w:val="28"/>
        </w:rPr>
        <w:t>(кора б.п.) = 2500 см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 xml:space="preserve"> . </w:t>
      </w:r>
      <w:r>
        <w:rPr>
          <w:rFonts w:eastAsia="Times New Roman"/>
          <w:sz w:val="28"/>
          <w:szCs w:val="28"/>
          <w:lang w:val="en-US"/>
        </w:rPr>
        <w:t>S</w:t>
      </w:r>
      <w:r>
        <w:rPr>
          <w:rFonts w:eastAsia="Times New Roman"/>
          <w:sz w:val="28"/>
          <w:szCs w:val="28"/>
        </w:rPr>
        <w:t>(ч.к)=4π</w:t>
      </w:r>
      <w:r>
        <w:rPr>
          <w:rFonts w:eastAsia="Times New Roman"/>
          <w:sz w:val="28"/>
          <w:szCs w:val="28"/>
          <w:lang w:val="en-US"/>
        </w:rPr>
        <w:t>r</w:t>
      </w:r>
      <w:r>
        <w:rPr>
          <w:rFonts w:eastAsia="Times New Roman"/>
          <w:sz w:val="28"/>
          <w:szCs w:val="28"/>
          <w:vertAlign w:val="superscript"/>
        </w:rPr>
        <w:t>2</w:t>
      </w:r>
      <w:r>
        <w:rPr>
          <w:rFonts w:eastAsia="Times New Roman"/>
          <w:sz w:val="28"/>
          <w:szCs w:val="28"/>
        </w:rPr>
        <w:t xml:space="preserve">/2, где </w:t>
      </w:r>
      <w:r>
        <w:rPr>
          <w:rFonts w:eastAsia="Times New Roman"/>
          <w:sz w:val="28"/>
          <w:szCs w:val="28"/>
          <w:lang w:val="en-US"/>
        </w:rPr>
        <w:t>r</w:t>
      </w:r>
      <w:r>
        <w:rPr>
          <w:rFonts w:eastAsia="Times New Roman"/>
          <w:sz w:val="28"/>
          <w:szCs w:val="28"/>
        </w:rPr>
        <w:t>=</w:t>
      </w:r>
      <w:r>
        <w:rPr>
          <w:rFonts w:eastAsia="Times New Roman"/>
          <w:sz w:val="28"/>
          <w:szCs w:val="28"/>
          <w:lang w:val="en-US"/>
        </w:rPr>
        <w:t>C</w:t>
      </w:r>
      <w:r>
        <w:rPr>
          <w:rFonts w:eastAsia="Times New Roman"/>
          <w:sz w:val="28"/>
          <w:szCs w:val="28"/>
        </w:rPr>
        <w:t>/2</w:t>
      </w:r>
      <w:r>
        <w:rPr>
          <w:rFonts w:eastAsia="Times New Roman"/>
          <w:sz w:val="28"/>
          <w:szCs w:val="28"/>
          <w:lang w:val="en-US"/>
        </w:rPr>
        <w:t>π</w:t>
      </w:r>
      <w:r>
        <w:rPr>
          <w:rFonts w:eastAsia="Times New Roman"/>
          <w:sz w:val="28"/>
          <w:szCs w:val="28"/>
        </w:rPr>
        <w:t>.</w:t>
      </w:r>
    </w:p>
    <w:p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Объяснение: большая площадь больших полушарий объясняется наличием многочисленных складок.</w:t>
      </w:r>
    </w:p>
    <w:p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Theme="minorHAnsi"/>
          <w:i/>
          <w:sz w:val="28"/>
          <w:szCs w:val="28"/>
          <w:lang w:eastAsia="en-US"/>
        </w:rPr>
        <w:t>Экспериментальная задача</w:t>
      </w:r>
      <w:r>
        <w:rPr>
          <w:rFonts w:eastAsiaTheme="minorHAnsi"/>
          <w:sz w:val="28"/>
          <w:szCs w:val="28"/>
          <w:lang w:eastAsia="en-US"/>
        </w:rPr>
        <w:t xml:space="preserve">.  На столах находятся   стальная кнопка, железный гвоздь, кусочек медной проволоки, медная скрепка, гранулы алюминия и цинка, штатив с пробирками, соляная кислота. Поместите предложенные тела на дно пробирок и добавьте затем соляную кислоту (высота столба жидкости примерно 1,5см). </w:t>
      </w:r>
    </w:p>
    <w:p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Опишите, что вы наблюдаете в каждой из пробирок.</w:t>
      </w:r>
    </w:p>
    <w:p>
      <w:pPr>
        <w:spacing w:line="360" w:lineRule="auto"/>
        <w:ind w:left="708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Знакомство с электрохимическим рядом напряжений металлов.</w:t>
      </w:r>
    </w:p>
    <w:tbl>
      <w:tblPr>
        <w:tblStyle w:val="10"/>
        <w:tblW w:w="0" w:type="auto"/>
        <w:tblInd w:w="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159"/>
        <w:gridCol w:w="2159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Название объекта</w:t>
            </w:r>
          </w:p>
        </w:tc>
        <w:tc>
          <w:tcPr>
            <w:tcW w:w="215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Название металла, из которого сделан объект</w:t>
            </w:r>
          </w:p>
        </w:tc>
        <w:tc>
          <w:tcPr>
            <w:tcW w:w="215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Что наблюдаем</w:t>
            </w:r>
          </w:p>
        </w:tc>
        <w:tc>
          <w:tcPr>
            <w:tcW w:w="2159" w:type="dxa"/>
          </w:tcPr>
          <w:p>
            <w:pPr>
              <w:spacing w:line="360" w:lineRule="auto"/>
              <w:contextualSpacing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Левее или правее относительно Н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vertAlign w:val="subscript"/>
                <w:lang w:eastAsia="en-US"/>
              </w:rPr>
              <w:t>2</w:t>
            </w: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 в эл/хим ряду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5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</w:tbl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Вывод: с кислотой взаимодействуют металлы: ……….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с кислотой не взаимодействуют металлы: ……..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Задание по учебнику М.А. Ахметова: ознакомьтесь с текстом на  с. 13.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 каким вы столкнулись противоречием?  Медь и серебро в наносостояниях способны взаимодействовать с кислотами. Увеличение площади поверхности реагирующих частиц влияет не только на скорость реакции (объемные взрывы), но и на характер химических свойств.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«В поисках коллоидных растворов»</w:t>
      </w:r>
    </w:p>
    <w:p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Химия на страже здоровья.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>Йод.  Возгонка йода. Йод из аптеки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>
      <w:pPr>
        <w:spacing w:line="360" w:lineRule="auto"/>
        <w:ind w:left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Изготовление модели молекулы йода.  Электронная, графическая формула йода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«Обнаружение крахмала в продуктах питания».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«Марганцовка». Перманганат калия. </w:t>
      </w:r>
      <w:r>
        <w:rPr>
          <w:rFonts w:eastAsiaTheme="minorHAnsi"/>
          <w:sz w:val="28"/>
          <w:szCs w:val="28"/>
          <w:lang w:eastAsia="en-US"/>
        </w:rPr>
        <w:t>Марганец и его степени окисления</w:t>
      </w:r>
    </w:p>
    <w:p>
      <w:pPr>
        <w:spacing w:line="360" w:lineRule="auto"/>
        <w:ind w:left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Определение массовой доли кислорода в молекуле перманганата калия.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Расчет относительной плотности кислорода по воздуху. 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Сборка прибора для получения кислорода методом вытеснения воздуха.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Эксперимент: сборка прибора для разложения перманганата калия. Качественная реакция на кислород.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Цветные реакции с перманганатом калия (напр., перманганат калия и сульфит натрия, др.)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Перекись водорода. Свойства и применение пероксида водорода</w:t>
      </w:r>
      <w:r>
        <w:rPr>
          <w:rFonts w:eastAsiaTheme="minorHAnsi"/>
          <w:sz w:val="28"/>
          <w:szCs w:val="28"/>
          <w:lang w:eastAsia="en-US"/>
        </w:rPr>
        <w:t>. Степень окисления кислорода в молекуле пероксида водорода.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Реакция разложения пероксида водорода. Как провести эксперимент.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Катализаторы. Оксид марганца (</w:t>
      </w: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 xml:space="preserve">), фермент каталаза – катализаторы реакции разложения. </w:t>
      </w:r>
    </w:p>
    <w:p>
      <w:pPr>
        <w:spacing w:line="360" w:lineRule="auto"/>
        <w:ind w:left="708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Оксид марганца (</w:t>
      </w: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 xml:space="preserve">): написать формулу вещества и определить степень окисления. 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Три пробирки, в каждой находится несколько мл аптечной перекиси водорода. Во вторую и третью пробирки поместите соответственно оксид марганца (</w:t>
      </w: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>) (на кончике шпателя) и свеженатертый картофель (на кончике шпателя).</w:t>
      </w:r>
    </w:p>
    <w:tbl>
      <w:tblPr>
        <w:tblStyle w:val="10"/>
        <w:tblW w:w="0" w:type="auto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3260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Номер пробирки</w:t>
            </w:r>
          </w:p>
        </w:tc>
        <w:tc>
          <w:tcPr>
            <w:tcW w:w="3260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Что добавили</w:t>
            </w:r>
          </w:p>
        </w:tc>
        <w:tc>
          <w:tcPr>
            <w:tcW w:w="350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Что наблюдаем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</w:tbl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Написать уравнение реакции с обозначениями условий ее протекания.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Происходит ли реакция в первой пробирке? Предложите прибор для получения водорода при разложении пероксида водорода.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Ацетилсалициловая кислота. Аскорбиновая кислота</w:t>
      </w:r>
      <w:r>
        <w:rPr>
          <w:rFonts w:eastAsiaTheme="minorHAnsi"/>
          <w:sz w:val="28"/>
          <w:szCs w:val="28"/>
          <w:lang w:eastAsia="en-US"/>
        </w:rPr>
        <w:t xml:space="preserve">. Кислотность среды. рН – индикаторы своими руками.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Описание физических свойств. Приготовление растворов       ацетилсалициловой и аскорбиновой кислот. Действие индикаторов (фенолфталеина, лакмуса и метилоранжа) на их растворы.</w:t>
      </w:r>
    </w:p>
    <w:tbl>
      <w:tblPr>
        <w:tblStyle w:val="10"/>
        <w:tblW w:w="9146" w:type="dxa"/>
        <w:tblInd w:w="7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3260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индикаторы</w:t>
            </w:r>
          </w:p>
        </w:tc>
        <w:tc>
          <w:tcPr>
            <w:tcW w:w="3260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Ацетилсалициловая кислота</w:t>
            </w:r>
          </w:p>
        </w:tc>
        <w:tc>
          <w:tcPr>
            <w:tcW w:w="350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Аскорбиновая кислота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Фенолфталеин</w:t>
            </w:r>
          </w:p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Лакмус</w:t>
            </w:r>
          </w:p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метилоранж</w:t>
            </w:r>
          </w:p>
        </w:tc>
        <w:tc>
          <w:tcPr>
            <w:tcW w:w="3260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09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</w:tbl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Приготовление отвара красной капусты. Наблюдение изменения цвета отвара в разных растворах (уксусная, лимонная, аскорбиновая кислоты, поваренная соль, газированная вода, нашатырный спирт, пищевая сода, раствор мыла и стирального порошка). 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Взаимодействие аскорбиновой кислоты с йодом. Вопрос: для каких целей можно использовать эту реакцию? (для обнаружения аскорбиновой кислоты в продуктах питания). </w:t>
      </w:r>
    </w:p>
    <w:tbl>
      <w:tblPr>
        <w:tblStyle w:val="10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2551"/>
        <w:gridCol w:w="3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>
            <w:pPr>
              <w:contextualSpacing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1 реагент аскорбиновая кислота</w:t>
            </w:r>
          </w:p>
        </w:tc>
        <w:tc>
          <w:tcPr>
            <w:tcW w:w="2551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2 реагент </w:t>
            </w:r>
          </w:p>
          <w:p>
            <w:pPr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йод</w:t>
            </w:r>
          </w:p>
        </w:tc>
        <w:tc>
          <w:tcPr>
            <w:tcW w:w="3509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Что наблюдаем при их взаимодействии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2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Физические свойства:</w:t>
            </w:r>
          </w:p>
          <w:p>
            <w:pPr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……….</w:t>
            </w:r>
          </w:p>
        </w:tc>
        <w:tc>
          <w:tcPr>
            <w:tcW w:w="2551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Физические свойства: ………</w:t>
            </w:r>
          </w:p>
        </w:tc>
        <w:tc>
          <w:tcPr>
            <w:tcW w:w="3509" w:type="dxa"/>
          </w:tcPr>
          <w:p>
            <w:pPr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</w:tbl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«Зеленка» или бриллиантовый зеленый</w:t>
      </w:r>
      <w:r>
        <w:rPr>
          <w:rFonts w:eastAsiaTheme="minorHAnsi"/>
          <w:sz w:val="28"/>
          <w:szCs w:val="28"/>
          <w:lang w:eastAsia="en-US"/>
        </w:rPr>
        <w:t>. Цвет порошкообразного  бриллиантового зеленого. Практическое значение и получение.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Физические свойства бриллиантового зеленого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доказать подлинность бриллиантового зеленого. Проведение последовательных реакций в одной пробирке с бриллиантовым зеленым: вначале в пробирку добавить концентрированной соляной кислоты, а затем раствора щелочи </w:t>
      </w:r>
      <w:r>
        <w:rPr>
          <w:rFonts w:eastAsiaTheme="minorHAnsi"/>
          <w:sz w:val="28"/>
          <w:szCs w:val="28"/>
          <w:lang w:val="en-US" w:eastAsia="en-US"/>
        </w:rPr>
        <w:t>NaOH</w:t>
      </w:r>
      <w:r>
        <w:rPr>
          <w:rFonts w:eastAsiaTheme="minorHAnsi"/>
          <w:sz w:val="28"/>
          <w:szCs w:val="28"/>
          <w:lang w:eastAsia="en-US"/>
        </w:rPr>
        <w:t xml:space="preserve">. Оформление работы по своему усмотрению. Затем обсудить: как зафиксировали результаты эксперимента (изменение цвета, выпадение осадка).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«Можно ли использовать бриллиантовый зеленый как индикатор кислотности среды»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«Мыло чудесное»</w:t>
      </w:r>
      <w:r>
        <w:rPr>
          <w:rFonts w:eastAsiaTheme="minorHAnsi"/>
          <w:sz w:val="28"/>
          <w:szCs w:val="28"/>
          <w:lang w:eastAsia="en-US"/>
        </w:rPr>
        <w:t>: хозяйственное и туалетное, жидкое и твердое.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Действие лакмуса на раствор мыла, раствор стирального порошка    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(доказательство щелочного характера моющих средств). Изучение этикеток твердого и жидкого мыла (различие в химическом составе). Растворение мыла в жесткой и дистиллированной воде. Эффект  Тиндаля.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«Мыловарение»</w:t>
      </w:r>
    </w:p>
    <w:p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Химия пищи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Сахар, крахмал, целлюлоза – родственники глюкозы.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Что такое диабет. Гликемический индекс продуктов питания.     Химические подсластители и их коварство.  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часть.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Определение продуктов с высоким гликемическим индексом (работа с таблицей).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Определяем подсластители: аспартам, сорбит …. (Работа с этикетками.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Опыт: взаимодействие глюкозы с гидроксидом меди (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>),  свежеприготовленным.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Исследование изменения содержания глюкозы в крови после   сбалансированного обеда и после употребления фастфуда: кириешков,чипсов, сладких газированных напитков.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Алюминий: великий и ужасный.</w:t>
      </w:r>
      <w:r>
        <w:rPr>
          <w:rFonts w:eastAsiaTheme="minorHAnsi"/>
          <w:sz w:val="28"/>
          <w:szCs w:val="28"/>
          <w:lang w:eastAsia="en-US"/>
        </w:rPr>
        <w:t xml:space="preserve"> Почему не следует пользоваться алюминиевой посудой? Соперник кальция.  Остеопороз. Металлы консервной банки.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работа.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Свойства алюминия и области применения алюминия на основании его свойств (повторение). Составить таблицу, кластер или схему.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химических реакций, характеризующих амфотерные свойства соединений алюминия.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Опыт 1. Алюминий и соляная кислота.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Опыт 2. Хлорид алюминия и гидроксид натрия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Опыт 3. Гидроксид алюминия и соляная кислота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Опыт 4. Гидроксид алюминия и гидроксид натрия</w:t>
      </w:r>
    </w:p>
    <w:tbl>
      <w:tblPr>
        <w:tblStyle w:val="10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2693"/>
        <w:gridCol w:w="4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Название опыта</w:t>
            </w:r>
          </w:p>
        </w:tc>
        <w:tc>
          <w:tcPr>
            <w:tcW w:w="2693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Что наблюдаем</w:t>
            </w:r>
          </w:p>
        </w:tc>
        <w:tc>
          <w:tcPr>
            <w:tcW w:w="4076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Уравнение химической реакции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076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</w:tbl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Вывод: ………….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«Ее величество – консервная банка: экспериментальное определение металлов».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Уксусная кислота.</w:t>
      </w:r>
      <w:r>
        <w:rPr>
          <w:rFonts w:eastAsiaTheme="minorHAnsi"/>
          <w:sz w:val="28"/>
          <w:szCs w:val="28"/>
          <w:lang w:eastAsia="en-US"/>
        </w:rPr>
        <w:t xml:space="preserve"> Столовый уксус, уксусная эссенция, ледяная уксусная кислота: в чем разница. Свойства уксусной кислоты и ее применение. Физиологическое воздействие кислоты.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работа.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Составление понятийной схемы: «что я знаю об уксусной кислоте»     (индивидуально, либо в группе).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Расчет концентрации кислоты при ее разбавлении.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Кислотность растворов пищевой соды и уксусной кислоты.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Гашение пищевой соды уксусной кислотой: признаки химической 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реакции (выделение газа, резкое увеличение объема реакционной смеси).  Повторить реакцию гашения соды с использованием индикатора (напр., отвара краснокочанной капусты). Для чего необходимо было применение индикатора?</w:t>
      </w:r>
    </w:p>
    <w:p>
      <w:pPr>
        <w:spacing w:line="360" w:lineRule="auto"/>
        <w:ind w:left="462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Обратить внимание, что выделение газа часто сопровождается </w:t>
      </w:r>
    </w:p>
    <w:p>
      <w:pPr>
        <w:spacing w:line="360" w:lineRule="auto"/>
        <w:ind w:left="462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увеличением объема реакционной смеси.  Какие меры предосторожности </w:t>
      </w:r>
    </w:p>
    <w:p>
      <w:pPr>
        <w:spacing w:line="360" w:lineRule="auto"/>
        <w:ind w:left="462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нужно соблюдать при проведении таких реакций?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«Соленая наша жизнь»</w:t>
      </w:r>
      <w:r>
        <w:rPr>
          <w:rFonts w:eastAsiaTheme="minorHAnsi"/>
          <w:sz w:val="28"/>
          <w:szCs w:val="28"/>
          <w:lang w:eastAsia="en-US"/>
        </w:rPr>
        <w:t xml:space="preserve"> (поваренная соль, поташ, глутамат натрия……. глауберова соль, медный купорос……)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Пищевая сода, питьевая сода, кальцинированная сода, каустическая сода: одинаковые или разные вещества. Качественные реакции в химии.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>Практическая работа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Определить: какое из веществ (пищевая сода, каустическая сода, кальцинированная сода) являются солями угольной кислоты.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Опыт 1. Действие индикаторами.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Опыт 2. Действие на растворы пищевой и каустической соды уксусной кислоты     </w:t>
      </w:r>
    </w:p>
    <w:tbl>
      <w:tblPr>
        <w:tblStyle w:val="10"/>
        <w:tblW w:w="9179" w:type="dxa"/>
        <w:tblInd w:w="10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917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Название опыта</w:t>
            </w:r>
          </w:p>
        </w:tc>
        <w:tc>
          <w:tcPr>
            <w:tcW w:w="291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>Что наблюдаем</w:t>
            </w:r>
          </w:p>
        </w:tc>
        <w:tc>
          <w:tcPr>
            <w:tcW w:w="3285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  <w:t xml:space="preserve">Вывод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17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>
            <w:pPr>
              <w:spacing w:line="360" w:lineRule="auto"/>
              <w:contextualSpacing/>
              <w:jc w:val="both"/>
              <w:rPr>
                <w:rFonts w:ascii="Times New Roman" w:hAnsi="Times New Roman" w:cs="Times New Roman" w:eastAsiaTheme="minorHAnsi"/>
                <w:sz w:val="28"/>
                <w:szCs w:val="28"/>
                <w:lang w:eastAsia="en-US"/>
              </w:rPr>
            </w:pPr>
          </w:p>
        </w:tc>
      </w:tr>
    </w:tbl>
    <w:p>
      <w:pPr>
        <w:spacing w:line="360" w:lineRule="auto"/>
        <w:ind w:left="36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Вывод: ………. 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опытов подтверждает, что пищевая сода, кальцинированная сода – это соли слабой угольной кислоты, а каустическая сода – растворимое основание.</w:t>
      </w:r>
    </w:p>
    <w:p>
      <w:pPr>
        <w:spacing w:line="360" w:lineRule="auto"/>
        <w:ind w:left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Обсудить, как доказать опытным путем, что пищевая сода является кислой солью. </w:t>
      </w:r>
    </w:p>
    <w:p>
      <w:pPr>
        <w:numPr>
          <w:ilvl w:val="1"/>
          <w:numId w:val="15"/>
        </w:numPr>
        <w:spacing w:after="20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Вред нитратов: миф или правда.</w:t>
      </w:r>
      <w:r>
        <w:rPr>
          <w:rFonts w:eastAsiaTheme="minorHAnsi"/>
          <w:sz w:val="28"/>
          <w:szCs w:val="28"/>
          <w:lang w:eastAsia="en-US"/>
        </w:rPr>
        <w:t xml:space="preserve"> Польза нитратов: важнейшие минеральные  удобрения как источник азота. Круговорот азота. Почему венерина   мухоловка поедает насекомых (так она восполняет недостаток азота в болотистых местах). Нитраты в качестве пищевых консервантов. Какие превращения происходят с нитратами в организме человека. Азот и его степени окисления. </w:t>
      </w:r>
    </w:p>
    <w:p>
      <w:pPr>
        <w:spacing w:line="360" w:lineRule="auto"/>
        <w:ind w:left="810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Практическая часть. 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Определение массовой доли азота в калийной, натриевой и аммонийной селитре. Вывод: какое из них более ценное азотное удобрение.</w:t>
      </w:r>
    </w:p>
    <w:p>
      <w:pPr>
        <w:spacing w:line="360" w:lineRule="auto"/>
        <w:ind w:left="81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 «Влияние азотных удобрений на рост саженцев фасоли».</w:t>
      </w:r>
    </w:p>
    <w:p>
      <w:pPr>
        <w:numPr>
          <w:ilvl w:val="0"/>
          <w:numId w:val="15"/>
        </w:numPr>
        <w:spacing w:after="20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Работа над проектами – 5 ч</w:t>
      </w:r>
    </w:p>
    <w:p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Этап выбора темы, постановки цели, задач исследования .</w:t>
      </w:r>
    </w:p>
    <w:p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Этап выдвижения гипотезы.</w:t>
      </w:r>
    </w:p>
    <w:p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Этап планирования пути достижения целей исследовательских (проектных) работ и выбора необходимого инструментария.</w:t>
      </w:r>
    </w:p>
    <w:p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Этап проведения учебного исследования (проектной работы) с промежуточным  контролем за ходом выполн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i/>
          <w:sz w:val="28"/>
          <w:szCs w:val="28"/>
        </w:rPr>
        <w:t>ния и коррекцией результатов.</w:t>
      </w:r>
    </w:p>
    <w:p>
      <w:pPr>
        <w:numPr>
          <w:ilvl w:val="0"/>
          <w:numId w:val="16"/>
        </w:numPr>
        <w:spacing w:after="200" w:line="360" w:lineRule="auto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Этап оформления, представления (защиты) продукта проектной работы</w:t>
      </w:r>
    </w:p>
    <w:p>
      <w:pPr>
        <w:ind w:left="720"/>
        <w:contextualSpacing/>
        <w:jc w:val="both"/>
        <w:rPr>
          <w:rFonts w:eastAsia="Times New Roman"/>
          <w:sz w:val="28"/>
          <w:szCs w:val="28"/>
        </w:rPr>
      </w:pPr>
    </w:p>
    <w:p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  <w:u w:val="single"/>
        </w:rPr>
      </w:pPr>
    </w:p>
    <w:p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>
      <w:pPr>
        <w:spacing w:line="360" w:lineRule="auto"/>
        <w:ind w:right="-259"/>
        <w:rPr>
          <w:rFonts w:eastAsia="Times New Roman"/>
          <w:b/>
          <w:bCs/>
          <w:sz w:val="28"/>
          <w:szCs w:val="28"/>
          <w:u w:val="single"/>
        </w:rPr>
      </w:pPr>
    </w:p>
    <w:p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Список используемых источников</w:t>
      </w:r>
    </w:p>
    <w:p>
      <w:pPr>
        <w:spacing w:line="360" w:lineRule="auto"/>
        <w:ind w:right="-259"/>
        <w:jc w:val="center"/>
        <w:rPr>
          <w:rFonts w:eastAsia="Times New Roman"/>
          <w:b/>
          <w:bCs/>
          <w:sz w:val="28"/>
          <w:szCs w:val="28"/>
        </w:rPr>
      </w:pPr>
    </w:p>
    <w:p>
      <w:pPr>
        <w:spacing w:line="360" w:lineRule="auto"/>
        <w:ind w:right="-259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Список  основной  литературы:</w:t>
      </w:r>
    </w:p>
    <w:p>
      <w:pPr>
        <w:numPr>
          <w:ilvl w:val="0"/>
          <w:numId w:val="17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Химическая энциклопедия. Т 1. М., 1988 г.</w:t>
      </w:r>
    </w:p>
    <w:p>
      <w:pPr>
        <w:numPr>
          <w:ilvl w:val="0"/>
          <w:numId w:val="17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Кукушкин Ю.Н. «Химия вокруг нас», М. Высшая школа, 2018 г..</w:t>
      </w:r>
    </w:p>
    <w:p>
      <w:pPr>
        <w:numPr>
          <w:ilvl w:val="0"/>
          <w:numId w:val="17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В.И. Кузнецов «Химия на пороге нового тысячелетия», «Химия в школе» № 1, 2017.</w:t>
      </w:r>
    </w:p>
    <w:p>
      <w:pPr>
        <w:numPr>
          <w:ilvl w:val="0"/>
          <w:numId w:val="17"/>
        </w:numPr>
        <w:tabs>
          <w:tab w:val="left" w:pos="500"/>
        </w:tabs>
        <w:spacing w:line="360" w:lineRule="auto"/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А.М. Юдин и другие. «Химия для вас». М. «Химия2002.</w:t>
      </w:r>
    </w:p>
    <w:p>
      <w:pPr>
        <w:tabs>
          <w:tab w:val="left" w:pos="500"/>
        </w:tabs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Список  литературы  для  учителя:</w:t>
      </w:r>
    </w:p>
    <w:p>
      <w:pPr>
        <w:pStyle w:val="12"/>
        <w:numPr>
          <w:ilvl w:val="0"/>
          <w:numId w:val="18"/>
        </w:numPr>
        <w:tabs>
          <w:tab w:val="left" w:pos="5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О.С. Габриелян, Г.Г. Лысова «Настольная книга учителя химии». , Дрофа, 2017.</w:t>
      </w:r>
    </w:p>
    <w:p>
      <w:pPr>
        <w:pStyle w:val="12"/>
        <w:numPr>
          <w:ilvl w:val="0"/>
          <w:numId w:val="18"/>
        </w:numPr>
        <w:tabs>
          <w:tab w:val="left" w:pos="5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Аликберова Л.Ю. Занимательная химия. Книга для учащихся, учителей и родителей. М.: АСТ-ПРЕСС, 2017;</w:t>
      </w:r>
    </w:p>
    <w:p>
      <w:pPr>
        <w:pStyle w:val="12"/>
        <w:numPr>
          <w:ilvl w:val="0"/>
          <w:numId w:val="18"/>
        </w:numPr>
        <w:tabs>
          <w:tab w:val="left" w:pos="5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К.А. Макаров «Химия и здоровье». М. «Просвещение».2005.</w:t>
      </w:r>
    </w:p>
    <w:p>
      <w:pPr>
        <w:pStyle w:val="12"/>
        <w:numPr>
          <w:ilvl w:val="0"/>
          <w:numId w:val="18"/>
        </w:num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Ю.Н. Коротышева «Химические салоны красоты». «Химия в школе».    № 1. 2005 г. </w:t>
      </w:r>
    </w:p>
    <w:p>
      <w:pPr>
        <w:pStyle w:val="12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Скурихин И.М., Нечаев А.П. Все о пище с точки зрения химика. Справ. издание. М.: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Высшая школа, 2009</w:t>
      </w:r>
    </w:p>
    <w:p>
      <w:pPr>
        <w:pStyle w:val="12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Ахметов М. А., Зорова Е.Ю. Обучение химии как процесс развития</w:t>
      </w:r>
    </w:p>
    <w:p>
      <w:pPr>
        <w:pStyle w:val="12"/>
        <w:numPr>
          <w:ilvl w:val="0"/>
          <w:numId w:val="18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познавательных стратегий учащихся [Текст]/ Ахметов М. А., Зорова Е.Ю.// Наука и школа.- 2015.- № 2.- С.81-87</w:t>
      </w:r>
    </w:p>
    <w:p>
      <w:pPr>
        <w:pStyle w:val="12"/>
        <w:numPr>
          <w:ilvl w:val="0"/>
          <w:numId w:val="18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Лазарев В. С. Проектная деятельность в школе: неиспользуемые возможности  [Текст]/ Лазарев В. С. //Вопросы образования. – 2015.- № 3.-С. 292-307.</w:t>
      </w:r>
    </w:p>
    <w:p>
      <w:pPr>
        <w:pStyle w:val="12"/>
        <w:numPr>
          <w:ilvl w:val="0"/>
          <w:numId w:val="18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Воронцов А. Проектная задача [Электронный ресурс] / Воронцов А. - Журнал «Начальная школа».- 2007.- № 6. – Режим доступа: </w:t>
      </w:r>
      <w:r>
        <w:fldChar w:fldCharType="begin"/>
      </w:r>
      <w:r>
        <w:instrText xml:space="preserve"> HYPERLINK "http://nsc.1september.ru/article.php?id=200700608" </w:instrText>
      </w:r>
      <w:r>
        <w:fldChar w:fldCharType="separate"/>
      </w:r>
      <w:r>
        <w:rPr>
          <w:rStyle w:val="5"/>
          <w:rFonts w:eastAsia="Times New Roman"/>
          <w:sz w:val="28"/>
          <w:szCs w:val="28"/>
        </w:rPr>
        <w:t>http://nsc.1september.ru/article.php?id=200700608</w:t>
      </w:r>
      <w:r>
        <w:rPr>
          <w:rStyle w:val="5"/>
          <w:rFonts w:eastAsia="Times New Roman"/>
          <w:sz w:val="28"/>
          <w:szCs w:val="28"/>
        </w:rPr>
        <w:fldChar w:fldCharType="end"/>
      </w:r>
    </w:p>
    <w:p>
      <w:pPr>
        <w:pStyle w:val="12"/>
        <w:numPr>
          <w:ilvl w:val="0"/>
          <w:numId w:val="18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Введение в нанотехнологии. Химия [Текст]/ учебное пособие для учащихся 10 – 11 классов/ под редакцией  Ахметова М.А. - СПб: образовательный центр «Участие», Образовательные проекты, 2011 – 108 с. (серия Наношкола)</w:t>
      </w:r>
    </w:p>
    <w:p>
      <w:pPr>
        <w:pStyle w:val="12"/>
        <w:numPr>
          <w:ilvl w:val="0"/>
          <w:numId w:val="18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Габриелян О.С., Остроумов И.Г. Пропедевтический курс «Старт в химию»/ Габриелян О.С.- Журнал «Химия в школе».- 2005.- № 8.- С. 19-26</w:t>
      </w:r>
    </w:p>
    <w:p>
      <w:pPr>
        <w:pStyle w:val="12"/>
        <w:numPr>
          <w:ilvl w:val="0"/>
          <w:numId w:val="18"/>
        </w:num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Голуб Г.Б., Перелыгина Е.А., Чуракова О.В. Основы проектной деятельности школьника: методическое пособие по преподаванию курса (с использованием тетрадей на печатной основе)/ Под редакцией профессора Е.Я.Когана. - Самара: Издательство «Учебная литература», Издательский дом «Федоров». 2006. – 224 с.</w:t>
      </w:r>
    </w:p>
    <w:p>
      <w:pPr>
        <w:tabs>
          <w:tab w:val="left" w:pos="500"/>
        </w:tabs>
        <w:spacing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Список  литературы  для  обучающихся:</w:t>
      </w:r>
    </w:p>
    <w:p>
      <w:pPr>
        <w:numPr>
          <w:ilvl w:val="0"/>
          <w:numId w:val="19"/>
        </w:numPr>
        <w:tabs>
          <w:tab w:val="left" w:pos="284"/>
        </w:tabs>
        <w:spacing w:line="360" w:lineRule="auto"/>
        <w:ind w:left="284" w:hanging="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В.А. Войтович «Химия в быту». М. «Знание». 2000.</w:t>
      </w:r>
    </w:p>
    <w:p>
      <w:pPr>
        <w:pStyle w:val="12"/>
        <w:numPr>
          <w:ilvl w:val="0"/>
          <w:numId w:val="19"/>
        </w:numPr>
        <w:tabs>
          <w:tab w:val="left" w:pos="284"/>
        </w:tabs>
        <w:spacing w:line="360" w:lineRule="auto"/>
        <w:ind w:left="284" w:hanging="2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«Энциклопедический словарь юного химика» М. «Педагогика», 2002.</w:t>
      </w:r>
    </w:p>
    <w:p>
      <w:pPr>
        <w:numPr>
          <w:ilvl w:val="0"/>
          <w:numId w:val="19"/>
        </w:numPr>
        <w:tabs>
          <w:tab w:val="left" w:pos="284"/>
          <w:tab w:val="left" w:pos="620"/>
        </w:tabs>
        <w:spacing w:line="360" w:lineRule="auto"/>
        <w:ind w:left="284" w:hanging="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«Эрудит», Химия – М. ООО «ТД «Издательство Мир книги»», 2018.</w:t>
      </w:r>
    </w:p>
    <w:p>
      <w:pPr>
        <w:pStyle w:val="12"/>
        <w:numPr>
          <w:ilvl w:val="0"/>
          <w:numId w:val="19"/>
        </w:numPr>
        <w:tabs>
          <w:tab w:val="left" w:pos="284"/>
        </w:tabs>
        <w:spacing w:line="360" w:lineRule="auto"/>
        <w:ind w:left="284" w:hanging="2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Аликберова Л.Ю. Занимательная химия. Книга для учащихся, учителей и родителей. М.: АСТ-ПРЕСС, 2017;</w:t>
      </w:r>
    </w:p>
    <w:p>
      <w:pPr>
        <w:pStyle w:val="12"/>
        <w:numPr>
          <w:ilvl w:val="0"/>
          <w:numId w:val="19"/>
        </w:numPr>
        <w:tabs>
          <w:tab w:val="left" w:pos="284"/>
        </w:tabs>
        <w:spacing w:line="360" w:lineRule="auto"/>
        <w:ind w:left="284" w:hanging="2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Мир химии. Занимательные рассказы о химии. Сост. Ю.И.Смирнов. СПб.: «МиМ-Экспресс», 1995.</w:t>
      </w:r>
    </w:p>
    <w:p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b/>
          <w:bCs/>
          <w:sz w:val="28"/>
          <w:szCs w:val="28"/>
          <w:lang w:eastAsia="en-US"/>
        </w:rPr>
      </w:pPr>
    </w:p>
    <w:p>
      <w:pPr>
        <w:tabs>
          <w:tab w:val="left" w:pos="540"/>
        </w:tabs>
        <w:spacing w:after="200" w:line="360" w:lineRule="auto"/>
        <w:jc w:val="right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Приложение №1</w:t>
      </w:r>
    </w:p>
    <w:p>
      <w:pPr>
        <w:tabs>
          <w:tab w:val="left" w:pos="959"/>
          <w:tab w:val="left" w:pos="1809"/>
          <w:tab w:val="left" w:pos="3510"/>
          <w:tab w:val="left" w:pos="9876"/>
        </w:tabs>
        <w:suppressAutoHyphens/>
        <w:spacing w:after="200" w:line="360" w:lineRule="auto"/>
        <w:ind w:left="-176"/>
        <w:jc w:val="center"/>
        <w:rPr>
          <w:rFonts w:eastAsia="Times New Roman"/>
        </w:rPr>
      </w:pPr>
      <w:r>
        <w:rPr>
          <w:rFonts w:eastAsia="Times New Roman"/>
          <w:b/>
          <w:sz w:val="28"/>
          <w:szCs w:val="28"/>
        </w:rPr>
        <w:t>Критериальная таблица оценки проекта</w:t>
      </w:r>
      <w:r>
        <w:rPr>
          <w:rFonts w:eastAsia="Times New Roman"/>
          <w:b/>
          <w:sz w:val="28"/>
          <w:szCs w:val="28"/>
          <w:vertAlign w:val="superscript"/>
        </w:rPr>
        <w:footnoteReference w:id="0"/>
      </w:r>
    </w:p>
    <w:tbl>
      <w:tblPr>
        <w:tblStyle w:val="3"/>
        <w:tblW w:w="1559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2"/>
        <w:gridCol w:w="1134"/>
        <w:gridCol w:w="1560"/>
        <w:gridCol w:w="1701"/>
        <w:gridCol w:w="1559"/>
        <w:gridCol w:w="1546"/>
        <w:gridCol w:w="1406"/>
        <w:gridCol w:w="1363"/>
        <w:gridCol w:w="1497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gridSpan w:val="3"/>
            <w:vMerge w:val="restart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Критерий</w:t>
            </w:r>
          </w:p>
        </w:tc>
        <w:tc>
          <w:tcPr>
            <w:tcW w:w="6366" w:type="dxa"/>
            <w:gridSpan w:val="4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5542" w:type="dxa"/>
            <w:gridSpan w:val="4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Повышенный уровень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gridSpan w:val="3"/>
            <w:vMerge w:val="continue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балл</w:t>
            </w:r>
          </w:p>
        </w:tc>
        <w:tc>
          <w:tcPr>
            <w:tcW w:w="1701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 балла</w:t>
            </w:r>
          </w:p>
        </w:tc>
        <w:tc>
          <w:tcPr>
            <w:tcW w:w="1559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балла</w:t>
            </w:r>
          </w:p>
        </w:tc>
        <w:tc>
          <w:tcPr>
            <w:tcW w:w="1546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 балла</w:t>
            </w:r>
          </w:p>
        </w:tc>
        <w:tc>
          <w:tcPr>
            <w:tcW w:w="1406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баллов</w:t>
            </w:r>
          </w:p>
        </w:tc>
        <w:tc>
          <w:tcPr>
            <w:tcW w:w="1363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 баллов</w:t>
            </w:r>
          </w:p>
        </w:tc>
        <w:tc>
          <w:tcPr>
            <w:tcW w:w="1497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 баллов</w:t>
            </w:r>
          </w:p>
        </w:tc>
        <w:tc>
          <w:tcPr>
            <w:tcW w:w="1276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 баллов</w:t>
            </w:r>
            <w:r>
              <w:rPr>
                <w:rFonts w:eastAsia="Times New Roman"/>
                <w:vanish/>
                <w:sz w:val="20"/>
                <w:szCs w:val="20"/>
              </w:rPr>
              <w:t xml:space="preserve"> у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60" w:type="dxa"/>
            <w:vMerge w:val="restart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992" w:type="dxa"/>
            <w:vMerge w:val="restart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проблем</w:t>
            </w:r>
          </w:p>
        </w:tc>
        <w:tc>
          <w:tcPr>
            <w:tcW w:w="1134" w:type="dxa"/>
            <w:textDirection w:val="btLr"/>
          </w:tcPr>
          <w:p>
            <w:pPr>
              <w:spacing w:after="200" w:line="276" w:lineRule="auto"/>
              <w:ind w:left="113" w:right="11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Постановка проблемы</w:t>
            </w:r>
          </w:p>
        </w:tc>
        <w:tc>
          <w:tcPr>
            <w:tcW w:w="1560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подтвердил понимание проблемы, сформулированной учителем</w:t>
            </w:r>
          </w:p>
        </w:tc>
        <w:tc>
          <w:tcPr>
            <w:tcW w:w="1701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объяснил причины, по которым он приступил к решению проблемы, сформулированной учителем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описал ситуацию и указал свои намерения</w:t>
            </w:r>
          </w:p>
        </w:tc>
        <w:tc>
          <w:tcPr>
            <w:tcW w:w="154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обосновал идеальную (желаемую) ситуация</w:t>
            </w:r>
          </w:p>
        </w:tc>
        <w:tc>
          <w:tcPr>
            <w:tcW w:w="140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проанализировал ситуацию и назвал противоречие между идеальной и реальной ситуацией  </w:t>
            </w:r>
          </w:p>
        </w:tc>
        <w:tc>
          <w:tcPr>
            <w:tcW w:w="1363" w:type="dxa"/>
          </w:tcPr>
          <w:p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назвал некоторые причины существования проблемы, сформулированной с помощью учителя</w:t>
            </w:r>
          </w:p>
        </w:tc>
        <w:tc>
          <w:tcPr>
            <w:tcW w:w="1497" w:type="dxa"/>
          </w:tcPr>
          <w:p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сформулировал проблему на основе детального анализа ситуации и привел анализ  причин ее существования </w:t>
            </w:r>
          </w:p>
        </w:tc>
        <w:tc>
          <w:tcPr>
            <w:tcW w:w="1276" w:type="dxa"/>
          </w:tcPr>
          <w:p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указал некоторые последствия существования проблемы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60" w:type="dxa"/>
            <w:vMerge w:val="continue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>
            <w:pPr>
              <w:spacing w:after="200" w:line="276" w:lineRule="auto"/>
              <w:ind w:left="113" w:right="11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Целеполагание</w:t>
            </w:r>
          </w:p>
        </w:tc>
        <w:tc>
          <w:tcPr>
            <w:tcW w:w="1560" w:type="dxa"/>
          </w:tcPr>
          <w:p>
            <w:pPr>
              <w:spacing w:after="200" w:line="276" w:lineRule="auto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подтвердил понимание цели и задач проекта, сформулированных учителем</w:t>
            </w:r>
          </w:p>
        </w:tc>
        <w:tc>
          <w:tcPr>
            <w:tcW w:w="1701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с помощью учителя сформулировал задачи,  соответствующие цели проекта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сформулировал задачи, адекватны цели проекта, определенной совместно с учителем</w:t>
            </w:r>
          </w:p>
        </w:tc>
        <w:tc>
          <w:tcPr>
            <w:tcW w:w="154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сформулировал цель проекта на основании проблемы, сформулированной совместно с учителем </w:t>
            </w:r>
          </w:p>
        </w:tc>
        <w:tc>
          <w:tcPr>
            <w:tcW w:w="140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предложил способ убедиться в достижении цели</w:t>
            </w:r>
          </w:p>
        </w:tc>
        <w:tc>
          <w:tcPr>
            <w:tcW w:w="1363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обосновал достижимость цели и назвал риски</w:t>
            </w:r>
          </w:p>
        </w:tc>
        <w:tc>
          <w:tcPr>
            <w:tcW w:w="1497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предложил возможные способы решения проблемы</w:t>
            </w:r>
          </w:p>
        </w:tc>
        <w:tc>
          <w:tcPr>
            <w:tcW w:w="127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предложил  стратегию достижения цели на основе анализа альтернативы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60" w:type="dxa"/>
            <w:vMerge w:val="continue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Планирование</w:t>
            </w:r>
          </w:p>
        </w:tc>
        <w:tc>
          <w:tcPr>
            <w:tcW w:w="1560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 завершения проекта ученик рассказал, что было сделано в ходе работы над проектом</w:t>
            </w:r>
          </w:p>
        </w:tc>
        <w:tc>
          <w:tcPr>
            <w:tcW w:w="1701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После завершения проекта ученик описал последовательность и взаимосвязь предпринятых действий 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выстроил в хронологической последовательности сформулированные совместно с учителем действия (шаги) </w:t>
            </w:r>
          </w:p>
        </w:tc>
        <w:tc>
          <w:tcPr>
            <w:tcW w:w="154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указал время, необходимое для выполнения сформулированных совместно с учителем действий (шагов) </w:t>
            </w:r>
          </w:p>
        </w:tc>
        <w:tc>
          <w:tcPr>
            <w:tcW w:w="140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зафиксировал результаты текущего контроля за соответствием деятельности плану</w:t>
            </w:r>
          </w:p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спланировал текущий контроль с учетом специфики деятельности (шагов)</w:t>
            </w:r>
          </w:p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97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предложил действия (шаги) в соответствии с задачами и назвал некоторые необходимые ресурсы </w:t>
            </w:r>
          </w:p>
        </w:tc>
        <w:tc>
          <w:tcPr>
            <w:tcW w:w="127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обосновал необходимые для реализации проекта ресурсы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60" w:type="dxa"/>
            <w:vMerge w:val="continue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Прогнозирование результатов деятельности</w:t>
            </w:r>
          </w:p>
        </w:tc>
        <w:tc>
          <w:tcPr>
            <w:tcW w:w="1560" w:type="dxa"/>
          </w:tcPr>
          <w:p>
            <w:pPr>
              <w:spacing w:after="200" w:line="276" w:lineRule="auto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После завершения проекта ученик описал полученный продукт</w:t>
            </w:r>
          </w:p>
        </w:tc>
        <w:tc>
          <w:tcPr>
            <w:tcW w:w="1701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 этапе планирования ученик описал продукт, который предполагает получить 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детально описал характеристики продукта, важные для его использования </w:t>
            </w:r>
          </w:p>
        </w:tc>
        <w:tc>
          <w:tcPr>
            <w:tcW w:w="154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указал, каким образом он планирует использовать продукт </w:t>
            </w:r>
          </w:p>
        </w:tc>
        <w:tc>
          <w:tcPr>
            <w:tcW w:w="140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описал характеристики продукта, с учетом заранее заданных критериев оценки продукта </w:t>
            </w:r>
          </w:p>
        </w:tc>
        <w:tc>
          <w:tcPr>
            <w:tcW w:w="1363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обосновано назвал потенциальных потребителей и области использования продукта </w:t>
            </w:r>
          </w:p>
        </w:tc>
        <w:tc>
          <w:tcPr>
            <w:tcW w:w="1497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сформулировал рекомендации по использованию полученного продукта другими</w:t>
            </w:r>
          </w:p>
        </w:tc>
        <w:tc>
          <w:tcPr>
            <w:tcW w:w="127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спланировал продвижение или указал границы использования продукта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60" w:type="dxa"/>
            <w:vMerge w:val="continue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Работа с информацией</w:t>
            </w:r>
          </w:p>
        </w:tc>
        <w:tc>
          <w:tcPr>
            <w:tcW w:w="1134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Поиск информации</w:t>
            </w:r>
          </w:p>
        </w:tc>
        <w:tc>
          <w:tcPr>
            <w:tcW w:w="1560" w:type="dxa"/>
          </w:tcPr>
          <w:p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указывает на отсутствие информации, во время выполнения того действия, для которого эта информация необходима, задавая вопросы </w:t>
            </w:r>
          </w:p>
        </w:tc>
        <w:tc>
          <w:tcPr>
            <w:tcW w:w="1701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указывает на отсутствие конкретной информации во время обсуждения с руководителем общего плана деятельности в рамках проекта, задавая вопросы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выделил из обозначенных учителем вопросов для изучения, те, информацией по которым не обладает.</w:t>
            </w:r>
          </w:p>
        </w:tc>
        <w:tc>
          <w:tcPr>
            <w:tcW w:w="154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указал, какая информация по тому или иному вопросу, поставленному учителем или самостоятельно, необходима для выполнения проекта </w:t>
            </w:r>
          </w:p>
        </w:tc>
        <w:tc>
          <w:tcPr>
            <w:tcW w:w="140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самостоятельно назвал виды источников, из которых он планирует получить информацию, рекомендованную учителем</w:t>
            </w:r>
          </w:p>
        </w:tc>
        <w:tc>
          <w:tcPr>
            <w:tcW w:w="1363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организовал поиск информации в соответствии с планом работ по проекту</w:t>
            </w:r>
          </w:p>
        </w:tc>
        <w:tc>
          <w:tcPr>
            <w:tcW w:w="1497" w:type="dxa"/>
          </w:tcPr>
          <w:p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при планировании работы выделил вопросы, по которым необходимо получить сведения из нескольких источников</w:t>
            </w:r>
          </w:p>
        </w:tc>
        <w:tc>
          <w:tcPr>
            <w:tcW w:w="127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самостоятельно и аргументировано принял решение о завершении этапа сбора информации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60" w:type="dxa"/>
            <w:vMerge w:val="continue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Обработка  информации</w:t>
            </w:r>
          </w:p>
        </w:tc>
        <w:tc>
          <w:tcPr>
            <w:tcW w:w="1560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изложил полученную информацию</w:t>
            </w:r>
          </w:p>
        </w:tc>
        <w:tc>
          <w:tcPr>
            <w:tcW w:w="1701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изложил те фрагменты полученной информации, которые оказались новыми для него или задал вопросы на понимание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назвал несовпадения в сведениях, содержащихся в источниках информации, предложенных учителем.</w:t>
            </w:r>
          </w:p>
        </w:tc>
        <w:tc>
          <w:tcPr>
            <w:tcW w:w="154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интерпретировал полученную информацию в контексте содержания проекта</w:t>
            </w:r>
          </w:p>
        </w:tc>
        <w:tc>
          <w:tcPr>
            <w:tcW w:w="140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указал на выходящие из общего ряда или противоречащие друг другу сведения.</w:t>
            </w:r>
          </w:p>
        </w:tc>
        <w:tc>
          <w:tcPr>
            <w:tcW w:w="1363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привел объяснение, касающееся данных (сведений), выходящих из общего ряда, или обнаруженных противоречий</w:t>
            </w:r>
          </w:p>
        </w:tc>
        <w:tc>
          <w:tcPr>
            <w:tcW w:w="1497" w:type="dxa"/>
          </w:tcPr>
          <w:p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реализовал предложенный учителем способ разрешения противоречия или проверки достоверности информации</w:t>
            </w:r>
          </w:p>
        </w:tc>
        <w:tc>
          <w:tcPr>
            <w:tcW w:w="1276" w:type="dxa"/>
          </w:tcPr>
          <w:p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предложил способ разрешения противоречия или проверки достоверности информации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60" w:type="dxa"/>
            <w:vMerge w:val="continue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Формулировка выводов</w:t>
            </w:r>
          </w:p>
        </w:tc>
        <w:tc>
          <w:tcPr>
            <w:tcW w:w="1560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воспроизвел аргументацию и вывод, содержащиеся в изученном источнике информации</w:t>
            </w:r>
          </w:p>
        </w:tc>
        <w:tc>
          <w:tcPr>
            <w:tcW w:w="1701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привел пример, подтверждающий вывод, заимствованный из  источника информации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предложил или предпринял действия по проекту, основываясь на полученной информации</w:t>
            </w:r>
          </w:p>
        </w:tc>
        <w:tc>
          <w:tcPr>
            <w:tcW w:w="154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сделал вывод (присоединился к выводу) на основе полученной информации и привел хотя бы один аргумент</w:t>
            </w:r>
          </w:p>
        </w:tc>
        <w:tc>
          <w:tcPr>
            <w:tcW w:w="1406" w:type="dxa"/>
          </w:tcPr>
          <w:p>
            <w:pPr>
              <w:spacing w:after="12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Ученик сделал вывод </w:t>
            </w:r>
            <w:r>
              <w:rPr>
                <w:rFonts w:eastAsia="Calibri"/>
                <w:iCs/>
                <w:sz w:val="20"/>
                <w:szCs w:val="20"/>
              </w:rPr>
              <w:t>(присоединился к выводу)</w:t>
            </w:r>
            <w:r>
              <w:rPr>
                <w:rFonts w:eastAsia="Calibri"/>
                <w:sz w:val="20"/>
                <w:szCs w:val="20"/>
              </w:rPr>
              <w:t xml:space="preserve"> на основе полученной информации и привел </w:t>
            </w:r>
            <w:r>
              <w:rPr>
                <w:rFonts w:eastAsia="Calibri"/>
                <w:iCs/>
                <w:sz w:val="20"/>
                <w:szCs w:val="20"/>
              </w:rPr>
              <w:t xml:space="preserve">несколько </w:t>
            </w:r>
            <w:r>
              <w:rPr>
                <w:rFonts w:eastAsia="Calibri"/>
                <w:sz w:val="20"/>
                <w:szCs w:val="20"/>
              </w:rPr>
              <w:t xml:space="preserve">аргументов </w:t>
            </w:r>
            <w:r>
              <w:rPr>
                <w:rFonts w:eastAsia="Calibri"/>
                <w:iCs/>
                <w:sz w:val="20"/>
                <w:szCs w:val="20"/>
              </w:rPr>
              <w:t xml:space="preserve">или данных для его подтверждения </w:t>
            </w:r>
          </w:p>
        </w:tc>
        <w:tc>
          <w:tcPr>
            <w:tcW w:w="1363" w:type="dxa"/>
          </w:tcPr>
          <w:p>
            <w:pPr>
              <w:spacing w:after="12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Ученик выстроил в собственной логике совокупность аргументов, подтверждающих вывод </w:t>
            </w:r>
          </w:p>
        </w:tc>
        <w:tc>
          <w:tcPr>
            <w:tcW w:w="1497" w:type="dxa"/>
          </w:tcPr>
          <w:p>
            <w:pPr>
              <w:spacing w:after="12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Ученик сделал вывод на основе критического анализа разных точек зрения или сопоставления первичной и вторичной информации,</w:t>
            </w:r>
          </w:p>
        </w:tc>
        <w:tc>
          <w:tcPr>
            <w:tcW w:w="1276" w:type="dxa"/>
          </w:tcPr>
          <w:p>
            <w:pPr>
              <w:spacing w:after="200" w:line="276" w:lineRule="auto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>Ученик подтвердил вывод собственной аргументацией или самостоятельно полученными данными.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5" w:hRule="atLeast"/>
        </w:trPr>
        <w:tc>
          <w:tcPr>
            <w:tcW w:w="1560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Сформированность предметных знаний и способов деятельности</w:t>
            </w:r>
          </w:p>
        </w:tc>
        <w:tc>
          <w:tcPr>
            <w:tcW w:w="992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продемонстрировал понимание содержания выполненной работы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работе и в ответах на вопросы по содержанию работы отсутствуют грубые ошибки</w:t>
            </w:r>
          </w:p>
        </w:tc>
        <w:tc>
          <w:tcPr>
            <w:tcW w:w="1406" w:type="dxa"/>
          </w:tcPr>
          <w:p>
            <w:pPr>
              <w:tabs>
                <w:tab w:val="left" w:pos="-108"/>
              </w:tabs>
              <w:suppressAutoHyphens/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продемонстрировал свободное владение предметом проектной деятельности </w:t>
            </w:r>
          </w:p>
        </w:tc>
        <w:tc>
          <w:tcPr>
            <w:tcW w:w="1363" w:type="dxa"/>
          </w:tcPr>
          <w:p>
            <w:pPr>
              <w:spacing w:after="120"/>
              <w:jc w:val="both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497" w:type="dxa"/>
          </w:tcPr>
          <w:p>
            <w:pPr>
              <w:spacing w:after="120"/>
              <w:jc w:val="both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spacing w:after="200" w:line="276" w:lineRule="auto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Ошибки отсутствуют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1" w:hRule="atLeast"/>
        </w:trPr>
        <w:tc>
          <w:tcPr>
            <w:tcW w:w="1560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Сформированность регулятивных действий</w:t>
            </w:r>
          </w:p>
        </w:tc>
        <w:tc>
          <w:tcPr>
            <w:tcW w:w="992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высказал свое впечатление от работы над проектом</w:t>
            </w:r>
          </w:p>
        </w:tc>
        <w:tc>
          <w:tcPr>
            <w:tcW w:w="1701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назвал трудности, с которыми он столкнулся при работе над проектом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назвал сильные стороны работы над проектом</w:t>
            </w:r>
          </w:p>
        </w:tc>
        <w:tc>
          <w:tcPr>
            <w:tcW w:w="154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назвал слабые стороны работы над проектом</w:t>
            </w:r>
          </w:p>
        </w:tc>
        <w:tc>
          <w:tcPr>
            <w:tcW w:w="140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привел причины успехов и неудач (трудностей) в работе над проектом</w:t>
            </w:r>
          </w:p>
        </w:tc>
        <w:tc>
          <w:tcPr>
            <w:tcW w:w="1363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предложил способ(ы) преодоления трудностей (избежания неудач), с которыми он столкнулся  при работе над проектом</w:t>
            </w:r>
          </w:p>
        </w:tc>
        <w:tc>
          <w:tcPr>
            <w:tcW w:w="1497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аргументировал возможность использовать освоенные в ходе проектной работы умения в других видах деятельности</w:t>
            </w:r>
          </w:p>
        </w:tc>
        <w:tc>
          <w:tcPr>
            <w:tcW w:w="127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проанализировал результаты работы над проектом с точки зрения жизненных планов на будущее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60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Сформированность коммуникативных действий</w:t>
            </w:r>
          </w:p>
        </w:tc>
        <w:tc>
          <w:tcPr>
            <w:tcW w:w="992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Письменная коммуникация</w:t>
            </w:r>
          </w:p>
        </w:tc>
        <w:tc>
          <w:tcPr>
            <w:tcW w:w="1560" w:type="dxa"/>
          </w:tcPr>
          <w:p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изложил вопрос с соблюдением норм оформления текста, заданных образцом</w:t>
            </w:r>
          </w:p>
        </w:tc>
        <w:tc>
          <w:tcPr>
            <w:tcW w:w="1701" w:type="dxa"/>
          </w:tcPr>
          <w:p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изложил вопрос с соблюдением норм оформления текста и вспомогательной графики, заданных образцом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изложил тему, включающую несколько вопросов с соблюдением норм и правил оформления текста </w:t>
            </w:r>
          </w:p>
        </w:tc>
        <w:tc>
          <w:tcPr>
            <w:tcW w:w="1546" w:type="dxa"/>
          </w:tcPr>
          <w:p>
            <w:pPr>
              <w:spacing w:after="200" w:line="276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изложил тему, включающую несколько вопросов с соблюдением норм и правил оформления текста и вспомогательной графики, заданных образцом</w:t>
            </w:r>
          </w:p>
        </w:tc>
        <w:tc>
          <w:tcPr>
            <w:tcW w:w="140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изложил тему, имеющую сложную структуру и грамотно использовал вспомогательные средства, </w:t>
            </w:r>
          </w:p>
        </w:tc>
        <w:tc>
          <w:tcPr>
            <w:tcW w:w="1363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поставил цель письменной коммуникации и определил жанр текста.</w:t>
            </w:r>
          </w:p>
        </w:tc>
        <w:tc>
          <w:tcPr>
            <w:tcW w:w="1497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изложил вопрос, самостоятельно предложил структуру текста в соответствии с нормами жанра</w:t>
            </w:r>
          </w:p>
        </w:tc>
        <w:tc>
          <w:tcPr>
            <w:tcW w:w="127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представил информацию в форме и на носителе,  адекватных цели коммуникации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560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Сформированность коммуникативных действий</w:t>
            </w:r>
          </w:p>
        </w:tc>
        <w:tc>
          <w:tcPr>
            <w:tcW w:w="992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ind w:left="113" w:right="113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Устная коммуникация</w:t>
            </w:r>
          </w:p>
        </w:tc>
        <w:tc>
          <w:tcPr>
            <w:tcW w:w="1560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выстроил свою речь в соответствии с нормами русского языка, обращаясь к тексту, составленному с помощью учителя </w:t>
            </w:r>
          </w:p>
        </w:tc>
        <w:tc>
          <w:tcPr>
            <w:tcW w:w="1701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Ученик выстроил свою речь в соответствии с нормами русского языка, обращаясь к плану, составленному с помощью учителя 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самостоятельно подготовил план выступления и соблюдал нормы публичной речи и регламент</w:t>
            </w:r>
          </w:p>
        </w:tc>
        <w:tc>
          <w:tcPr>
            <w:tcW w:w="154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Учение использовал различные вербальные средства коммуникации</w:t>
            </w:r>
          </w:p>
        </w:tc>
        <w:tc>
          <w:tcPr>
            <w:tcW w:w="140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адекватно использовал невербальные средства или подготовленные наглядные материалы, предложенные учителем</w:t>
            </w:r>
          </w:p>
        </w:tc>
        <w:tc>
          <w:tcPr>
            <w:tcW w:w="1363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самостоятельно использовал невербальные средства или грамотно подготовленные наглядные материалы</w:t>
            </w:r>
          </w:p>
        </w:tc>
        <w:tc>
          <w:tcPr>
            <w:tcW w:w="1497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реализовал логические или риторические приемы, предложенные учителем</w:t>
            </w:r>
          </w:p>
        </w:tc>
        <w:tc>
          <w:tcPr>
            <w:tcW w:w="1276" w:type="dxa"/>
          </w:tcPr>
          <w:p>
            <w:pPr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Ученик самостоятельно реализовал логические или риторические приемы</w:t>
            </w:r>
          </w:p>
        </w:tc>
      </w:tr>
    </w:tbl>
    <w:p>
      <w:pPr>
        <w:tabs>
          <w:tab w:val="left" w:pos="357"/>
        </w:tabs>
        <w:suppressAutoHyphens/>
        <w:spacing w:after="200" w:line="360" w:lineRule="auto"/>
        <w:jc w:val="both"/>
        <w:rPr>
          <w:rFonts w:eastAsia="Times New Roman"/>
        </w:rPr>
      </w:pPr>
    </w:p>
    <w:p>
      <w:pPr>
        <w:tabs>
          <w:tab w:val="left" w:pos="357"/>
        </w:tabs>
        <w:suppressAutoHyphens/>
        <w:spacing w:after="200" w:line="360" w:lineRule="auto"/>
        <w:ind w:firstLine="454"/>
        <w:jc w:val="center"/>
        <w:outlineLvl w:val="0"/>
        <w:rPr>
          <w:rFonts w:eastAsia="Times New Roman"/>
          <w:b/>
        </w:rPr>
      </w:pPr>
      <w:r>
        <w:rPr>
          <w:rFonts w:eastAsia="Times New Roman"/>
          <w:b/>
        </w:rPr>
        <w:t>Содержательное описание каждого критерия</w:t>
      </w:r>
    </w:p>
    <w:tbl>
      <w:tblPr>
        <w:tblStyle w:val="3"/>
        <w:tblW w:w="1559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954"/>
        <w:gridCol w:w="8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restart"/>
          </w:tcPr>
          <w:p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4033" w:type="dxa"/>
            <w:gridSpan w:val="2"/>
          </w:tcPr>
          <w:p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Уровни сформированности навыков проектной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vAlign w:val="cente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Базовый</w:t>
            </w:r>
          </w:p>
        </w:tc>
        <w:tc>
          <w:tcPr>
            <w:tcW w:w="8079" w:type="dxa"/>
            <w:vAlign w:val="center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Повышенный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Самосто-ятельное приобре-тение знаний и решение проблем</w:t>
            </w:r>
          </w:p>
        </w:tc>
        <w:tc>
          <w:tcPr>
            <w:tcW w:w="5954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8079" w:type="dxa"/>
          </w:tcPr>
          <w:p>
            <w:pPr>
              <w:tabs>
                <w:tab w:val="left" w:pos="-108"/>
              </w:tabs>
              <w:suppressAutoHyphens/>
              <w:spacing w:after="20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Знание предмета</w:t>
            </w:r>
          </w:p>
        </w:tc>
        <w:tc>
          <w:tcPr>
            <w:tcW w:w="5954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8079" w:type="dxa"/>
          </w:tcPr>
          <w:p>
            <w:pPr>
              <w:tabs>
                <w:tab w:val="left" w:pos="-108"/>
              </w:tabs>
              <w:suppressAutoHyphens/>
              <w:spacing w:after="20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560" w:type="dxa"/>
          </w:tcPr>
          <w:p>
            <w:pPr>
              <w:spacing w:line="36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Регуля-тивные действия</w:t>
            </w:r>
          </w:p>
        </w:tc>
        <w:tc>
          <w:tcPr>
            <w:tcW w:w="5954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Продемонстрированы навыки определения темы и планирования работы.</w:t>
            </w:r>
          </w:p>
          <w:p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Работа доведена до конца и представлена комиссии;</w:t>
            </w:r>
          </w:p>
          <w:p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8079" w:type="dxa"/>
          </w:tcPr>
          <w:p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  <w:p>
            <w:pPr>
              <w:spacing w:line="360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Контроль и коррекция осуществлялись самостоятельно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Комму-никация</w:t>
            </w:r>
          </w:p>
        </w:tc>
        <w:tc>
          <w:tcPr>
            <w:tcW w:w="5954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8079" w:type="dxa"/>
          </w:tcPr>
          <w:p>
            <w:pPr>
              <w:tabs>
                <w:tab w:val="left" w:pos="357"/>
              </w:tabs>
              <w:suppressAutoHyphens/>
              <w:spacing w:after="20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Автор свободно отвечает на вопросы</w:t>
            </w:r>
          </w:p>
        </w:tc>
      </w:tr>
    </w:tbl>
    <w:p>
      <w:pPr>
        <w:widowControl w:val="0"/>
        <w:overflowPunct w:val="0"/>
        <w:autoSpaceDE w:val="0"/>
        <w:autoSpaceDN w:val="0"/>
        <w:adjustRightInd w:val="0"/>
        <w:spacing w:line="343" w:lineRule="auto"/>
        <w:ind w:right="120"/>
        <w:jc w:val="both"/>
        <w:rPr>
          <w:rFonts w:eastAsia="Times New Roman"/>
          <w:sz w:val="24"/>
          <w:szCs w:val="24"/>
          <w:lang w:eastAsia="en-US"/>
        </w:rPr>
      </w:pPr>
    </w:p>
    <w:p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en-US"/>
        </w:rPr>
      </w:pPr>
    </w:p>
    <w:sectPr>
      <w:pgSz w:w="16840" w:h="11900" w:orient="landscape"/>
      <w:pgMar w:top="844" w:right="1440" w:bottom="1440" w:left="1440" w:header="0" w:footer="0" w:gutter="0"/>
      <w:pgNumType w:start="1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0411709"/>
      <w:docPartObj>
        <w:docPartGallery w:val="autotext"/>
      </w:docPartObj>
    </w:sdtPr>
    <w:sdtContent>
      <w:p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5741290"/>
      <w:docPartObj>
        <w:docPartGallery w:val="autotext"/>
      </w:docPartObj>
    </w:sdtPr>
    <w:sdtContent>
      <w:p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rStyle w:val="4"/>
          <w:sz w:val="20"/>
          <w:szCs w:val="20"/>
        </w:rPr>
        <w:footnoteRef/>
      </w:r>
      <w:r>
        <w:rPr>
          <w:sz w:val="20"/>
          <w:szCs w:val="20"/>
        </w:rPr>
        <w:t xml:space="preserve"> Данная система оценивания, принятая  в ООП ООО ГБОУ СОШ №1 г. Нефтегорска,  составлена согласно методическим рекомендациям из сборника Фишмана И.С., Голуб Г.Б., Перелыгиной Е.А. «Порядок формирования раздела «Система оценки достижения планируемых результатов освоения основной образовательной программы основного общего образования». – Самара. 2012.</w:t>
      </w:r>
    </w:p>
    <w:p>
      <w:pPr>
        <w:pStyle w:val="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74D"/>
    <w:multiLevelType w:val="multilevel"/>
    <w:tmpl w:val="0000074D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0002D12"/>
    <w:multiLevelType w:val="multilevel"/>
    <w:tmpl w:val="00002D12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00039B3"/>
    <w:multiLevelType w:val="multilevel"/>
    <w:tmpl w:val="000039B3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0000428B"/>
    <w:multiLevelType w:val="multilevel"/>
    <w:tmpl w:val="0000428B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00004DC8"/>
    <w:multiLevelType w:val="multilevel"/>
    <w:tmpl w:val="00004DC8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000054DE"/>
    <w:multiLevelType w:val="multilevel"/>
    <w:tmpl w:val="000054DE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000063CB"/>
    <w:multiLevelType w:val="multilevel"/>
    <w:tmpl w:val="000063CB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00006443"/>
    <w:multiLevelType w:val="multilevel"/>
    <w:tmpl w:val="00006443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000066BB"/>
    <w:multiLevelType w:val="multilevel"/>
    <w:tmpl w:val="000066BB"/>
    <w:lvl w:ilvl="0" w:tentative="0">
      <w:start w:val="1"/>
      <w:numFmt w:val="bullet"/>
      <w:lvlText w:val="-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1ED33815"/>
    <w:multiLevelType w:val="multilevel"/>
    <w:tmpl w:val="1ED33815"/>
    <w:lvl w:ilvl="0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0">
    <w:nsid w:val="2662488C"/>
    <w:multiLevelType w:val="multilevel"/>
    <w:tmpl w:val="2662488C"/>
    <w:lvl w:ilvl="0" w:tentative="0">
      <w:start w:val="1"/>
      <w:numFmt w:val="bullet"/>
      <w:lvlText w:val=""/>
      <w:lvlJc w:val="left"/>
      <w:pPr>
        <w:ind w:left="13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00" w:hanging="360"/>
      </w:pPr>
      <w:rPr>
        <w:rFonts w:hint="default" w:ascii="Wingdings" w:hAnsi="Wingdings"/>
      </w:rPr>
    </w:lvl>
  </w:abstractNum>
  <w:abstractNum w:abstractNumId="11">
    <w:nsid w:val="386E0341"/>
    <w:multiLevelType w:val="multilevel"/>
    <w:tmpl w:val="386E034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845BD"/>
    <w:multiLevelType w:val="multilevel"/>
    <w:tmpl w:val="3A8845BD"/>
    <w:lvl w:ilvl="0" w:tentative="0">
      <w:start w:val="1"/>
      <w:numFmt w:val="decimal"/>
      <w:lvlText w:val="%1."/>
      <w:lvlJc w:val="left"/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70CCC"/>
    <w:multiLevelType w:val="multilevel"/>
    <w:tmpl w:val="43B70CC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066BA"/>
    <w:multiLevelType w:val="multilevel"/>
    <w:tmpl w:val="4AC066B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13210"/>
    <w:multiLevelType w:val="multilevel"/>
    <w:tmpl w:val="59B13210"/>
    <w:lvl w:ilvl="0" w:tentative="0">
      <w:start w:val="1"/>
      <w:numFmt w:val="bullet"/>
      <w:lvlText w:val=""/>
      <w:lvlJc w:val="left"/>
      <w:pPr>
        <w:ind w:left="13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00" w:hanging="360"/>
      </w:pPr>
      <w:rPr>
        <w:rFonts w:hint="default" w:ascii="Wingdings" w:hAnsi="Wingdings"/>
      </w:rPr>
    </w:lvl>
  </w:abstractNum>
  <w:abstractNum w:abstractNumId="16">
    <w:nsid w:val="59DB69D7"/>
    <w:multiLevelType w:val="multilevel"/>
    <w:tmpl w:val="59DB69D7"/>
    <w:lvl w:ilvl="0" w:tentative="0">
      <w:start w:val="1"/>
      <w:numFmt w:val="bullet"/>
      <w:lvlText w:val=""/>
      <w:lvlJc w:val="left"/>
      <w:pPr>
        <w:ind w:left="13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2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9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00" w:hanging="360"/>
      </w:pPr>
      <w:rPr>
        <w:rFonts w:hint="default" w:ascii="Wingdings" w:hAnsi="Wingdings"/>
      </w:rPr>
    </w:lvl>
  </w:abstractNum>
  <w:abstractNum w:abstractNumId="17">
    <w:nsid w:val="5E6E6DC9"/>
    <w:multiLevelType w:val="multilevel"/>
    <w:tmpl w:val="5E6E6D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D7F65FE"/>
    <w:multiLevelType w:val="multilevel"/>
    <w:tmpl w:val="6D7F65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5"/>
  </w:num>
  <w:num w:numId="5">
    <w:abstractNumId w:val="9"/>
  </w:num>
  <w:num w:numId="6">
    <w:abstractNumId w:val="17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8"/>
  </w:num>
  <w:num w:numId="14">
    <w:abstractNumId w:val="3"/>
  </w:num>
  <w:num w:numId="15">
    <w:abstractNumId w:val="18"/>
  </w:num>
  <w:num w:numId="16">
    <w:abstractNumId w:val="14"/>
  </w:num>
  <w:num w:numId="17">
    <w:abstractNumId w:val="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documentProtection w:enforcement="0"/>
  <w:defaultTabStop w:val="720"/>
  <w:characterSpacingControl w:val="doNotCompress"/>
  <w:footnotePr>
    <w:footnote w:id="2"/>
    <w:footnote w:id="3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44"/>
    <w:rsid w:val="00032F1B"/>
    <w:rsid w:val="000706BA"/>
    <w:rsid w:val="0007112D"/>
    <w:rsid w:val="000A6458"/>
    <w:rsid w:val="000D74DB"/>
    <w:rsid w:val="000F165E"/>
    <w:rsid w:val="00122BBC"/>
    <w:rsid w:val="00130847"/>
    <w:rsid w:val="001310A2"/>
    <w:rsid w:val="0018218E"/>
    <w:rsid w:val="00195800"/>
    <w:rsid w:val="0021681A"/>
    <w:rsid w:val="00217B17"/>
    <w:rsid w:val="00226B29"/>
    <w:rsid w:val="00262A4C"/>
    <w:rsid w:val="00285A4F"/>
    <w:rsid w:val="00324C98"/>
    <w:rsid w:val="00334AD0"/>
    <w:rsid w:val="00365102"/>
    <w:rsid w:val="00365DF0"/>
    <w:rsid w:val="0041616E"/>
    <w:rsid w:val="00424AE4"/>
    <w:rsid w:val="004355AF"/>
    <w:rsid w:val="00483670"/>
    <w:rsid w:val="00543F46"/>
    <w:rsid w:val="005E2034"/>
    <w:rsid w:val="0060243F"/>
    <w:rsid w:val="006056FC"/>
    <w:rsid w:val="00633B44"/>
    <w:rsid w:val="0065307D"/>
    <w:rsid w:val="00686E17"/>
    <w:rsid w:val="006B6992"/>
    <w:rsid w:val="0070465A"/>
    <w:rsid w:val="00773AC4"/>
    <w:rsid w:val="00797FA5"/>
    <w:rsid w:val="007C1578"/>
    <w:rsid w:val="007F5EC0"/>
    <w:rsid w:val="00802C93"/>
    <w:rsid w:val="00830A87"/>
    <w:rsid w:val="00883E74"/>
    <w:rsid w:val="0094229A"/>
    <w:rsid w:val="00987D46"/>
    <w:rsid w:val="00A438E4"/>
    <w:rsid w:val="00A50D2C"/>
    <w:rsid w:val="00AD2D86"/>
    <w:rsid w:val="00AF49D7"/>
    <w:rsid w:val="00B125E7"/>
    <w:rsid w:val="00B202ED"/>
    <w:rsid w:val="00B43365"/>
    <w:rsid w:val="00B91F03"/>
    <w:rsid w:val="00C00B5D"/>
    <w:rsid w:val="00C12816"/>
    <w:rsid w:val="00C26EB6"/>
    <w:rsid w:val="00C35217"/>
    <w:rsid w:val="00C3591A"/>
    <w:rsid w:val="00C4438D"/>
    <w:rsid w:val="00C53C49"/>
    <w:rsid w:val="00C77870"/>
    <w:rsid w:val="00C8135F"/>
    <w:rsid w:val="00D01BDB"/>
    <w:rsid w:val="00D20B9E"/>
    <w:rsid w:val="00D3290D"/>
    <w:rsid w:val="00D4647C"/>
    <w:rsid w:val="00D74502"/>
    <w:rsid w:val="00D87DC2"/>
    <w:rsid w:val="00E27FFE"/>
    <w:rsid w:val="00E538CE"/>
    <w:rsid w:val="00EA7A53"/>
    <w:rsid w:val="00F54381"/>
    <w:rsid w:val="00F77D4C"/>
    <w:rsid w:val="0A841E0C"/>
    <w:rsid w:val="2A4E7240"/>
    <w:rsid w:val="344C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qFormat/>
    <w:uiPriority w:val="0"/>
    <w:rPr>
      <w:vertAlign w:val="superscript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footnote text"/>
    <w:basedOn w:val="1"/>
    <w:link w:val="11"/>
    <w:semiHidden/>
    <w:unhideWhenUsed/>
    <w:uiPriority w:val="99"/>
    <w:rPr>
      <w:sz w:val="20"/>
      <w:szCs w:val="20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3"/>
    <w:qFormat/>
    <w:uiPriority w:val="59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сноски Знак"/>
    <w:basedOn w:val="2"/>
    <w:link w:val="7"/>
    <w:semiHidden/>
    <w:qFormat/>
    <w:uiPriority w:val="99"/>
    <w:rPr>
      <w:sz w:val="20"/>
      <w:szCs w:val="20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Верхний колонтитул Знак"/>
    <w:basedOn w:val="2"/>
    <w:link w:val="8"/>
    <w:qFormat/>
    <w:uiPriority w:val="99"/>
  </w:style>
  <w:style w:type="character" w:customStyle="1" w:styleId="14">
    <w:name w:val="Нижний колонтитул Знак"/>
    <w:basedOn w:val="2"/>
    <w:link w:val="9"/>
    <w:qFormat/>
    <w:uiPriority w:val="99"/>
  </w:style>
  <w:style w:type="character" w:customStyle="1" w:styleId="15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6B80B9-6098-487D-A640-D77D80A49E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7030</Words>
  <Characters>40072</Characters>
  <Lines>333</Lines>
  <Paragraphs>94</Paragraphs>
  <TotalTime>1426</TotalTime>
  <ScaleCrop>false</ScaleCrop>
  <LinksUpToDate>false</LinksUpToDate>
  <CharactersWithSpaces>47008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2020-05-10T12:33:00Z</dcterms:created>
  <dc:creator>Windows User</dc:creator>
  <cp:lastModifiedBy>user</cp:lastModifiedBy>
  <cp:lastPrinted>2021-06-24T07:28:00Z</cp:lastPrinted>
  <dcterms:modified xsi:type="dcterms:W3CDTF">2021-09-15T11:08:55Z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1049-11.2.0.10296</vt:lpwstr>
  </property>
  <property fmtid="{D5CDD505-2E9C-101B-9397-08002B2CF9AE}" pid="3" name="ICV">
    <vt:lpwstr>8EDB169CDD404BBF949422B487D57A08</vt:lpwstr>
  </property>
</Properties>
</file>